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A0C37" w14:textId="77777777" w:rsidR="00EF0DDA" w:rsidRDefault="00EF0DDA" w:rsidP="00EF0DDA">
      <w:pPr>
        <w:spacing w:line="240" w:lineRule="auto"/>
        <w:jc w:val="center"/>
        <w:rPr>
          <w:sz w:val="28"/>
          <w:szCs w:val="28"/>
          <w:u w:val="single"/>
        </w:rPr>
      </w:pPr>
      <w:r>
        <w:rPr>
          <w:noProof/>
          <w:lang w:eastAsia="fr-FR"/>
        </w:rPr>
        <w:drawing>
          <wp:inline distT="0" distB="0" distL="0" distR="0" wp14:anchorId="6574D1F3" wp14:editId="4DA73B02">
            <wp:extent cx="1570355" cy="1787525"/>
            <wp:effectExtent l="0" t="0" r="0" b="3175"/>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srcRect/>
                    <a:stretch>
                      <a:fillRect/>
                    </a:stretch>
                  </pic:blipFill>
                  <pic:spPr bwMode="auto">
                    <a:xfrm>
                      <a:off x="0" y="0"/>
                      <a:ext cx="1570355" cy="1787525"/>
                    </a:xfrm>
                    <a:prstGeom prst="rect">
                      <a:avLst/>
                    </a:prstGeom>
                    <a:noFill/>
                    <a:ln w="9525">
                      <a:noFill/>
                      <a:miter lim="800000"/>
                      <a:headEnd/>
                      <a:tailEnd/>
                    </a:ln>
                  </pic:spPr>
                </pic:pic>
              </a:graphicData>
            </a:graphic>
          </wp:inline>
        </w:drawing>
      </w:r>
    </w:p>
    <w:p w14:paraId="19933A47" w14:textId="77777777" w:rsidR="00EF0DDA" w:rsidRDefault="00EF0DDA" w:rsidP="00712F09">
      <w:pPr>
        <w:spacing w:after="0" w:line="240" w:lineRule="auto"/>
        <w:jc w:val="center"/>
        <w:rPr>
          <w:sz w:val="30"/>
          <w:szCs w:val="30"/>
          <w:u w:val="single"/>
        </w:rPr>
      </w:pPr>
    </w:p>
    <w:p w14:paraId="402F7449" w14:textId="15350F83" w:rsidR="00EF0DDA" w:rsidRPr="00712F09" w:rsidRDefault="00BB2E0A" w:rsidP="00EF0DDA">
      <w:pPr>
        <w:spacing w:line="240" w:lineRule="auto"/>
        <w:jc w:val="center"/>
        <w:rPr>
          <w:b/>
          <w:sz w:val="30"/>
          <w:szCs w:val="30"/>
          <w:u w:val="single"/>
        </w:rPr>
      </w:pPr>
      <w:r>
        <w:rPr>
          <w:b/>
          <w:sz w:val="30"/>
          <w:szCs w:val="30"/>
          <w:u w:val="single"/>
        </w:rPr>
        <w:t>Rapport annuel (du 31</w:t>
      </w:r>
      <w:r w:rsidR="0025169B">
        <w:rPr>
          <w:b/>
          <w:sz w:val="30"/>
          <w:szCs w:val="30"/>
          <w:u w:val="single"/>
        </w:rPr>
        <w:t>/12/201</w:t>
      </w:r>
      <w:r w:rsidR="00F178C5">
        <w:rPr>
          <w:b/>
          <w:sz w:val="30"/>
          <w:szCs w:val="30"/>
          <w:u w:val="single"/>
        </w:rPr>
        <w:t>8</w:t>
      </w:r>
      <w:r w:rsidR="0025169B">
        <w:rPr>
          <w:b/>
          <w:sz w:val="30"/>
          <w:szCs w:val="30"/>
          <w:u w:val="single"/>
        </w:rPr>
        <w:t xml:space="preserve"> au 31/12/201</w:t>
      </w:r>
      <w:r w:rsidR="00F178C5">
        <w:rPr>
          <w:b/>
          <w:sz w:val="30"/>
          <w:szCs w:val="30"/>
          <w:u w:val="single"/>
        </w:rPr>
        <w:t>9</w:t>
      </w:r>
      <w:r w:rsidR="00EF0DDA" w:rsidRPr="00712F09">
        <w:rPr>
          <w:b/>
          <w:sz w:val="30"/>
          <w:szCs w:val="30"/>
          <w:u w:val="single"/>
        </w:rPr>
        <w:t>)</w:t>
      </w:r>
    </w:p>
    <w:p w14:paraId="778CE917" w14:textId="77777777" w:rsidR="00636BDB" w:rsidRPr="00712F09" w:rsidRDefault="00636BDB" w:rsidP="00636BDB">
      <w:pPr>
        <w:spacing w:line="240" w:lineRule="auto"/>
        <w:jc w:val="center"/>
        <w:rPr>
          <w:b/>
          <w:sz w:val="30"/>
          <w:szCs w:val="30"/>
          <w:u w:val="single"/>
        </w:rPr>
      </w:pPr>
      <w:r>
        <w:rPr>
          <w:b/>
          <w:sz w:val="30"/>
          <w:szCs w:val="30"/>
          <w:u w:val="single"/>
        </w:rPr>
        <w:t xml:space="preserve">Carlton </w:t>
      </w:r>
      <w:r w:rsidR="00AF205C">
        <w:rPr>
          <w:b/>
          <w:sz w:val="30"/>
          <w:szCs w:val="30"/>
          <w:u w:val="single"/>
        </w:rPr>
        <w:t xml:space="preserve">Select Invest </w:t>
      </w:r>
    </w:p>
    <w:p w14:paraId="73D72232" w14:textId="77777777" w:rsidR="00712F09" w:rsidRPr="00EF0DDA" w:rsidRDefault="00712F09" w:rsidP="00EF0DDA">
      <w:pPr>
        <w:spacing w:line="240" w:lineRule="auto"/>
        <w:jc w:val="center"/>
        <w:rPr>
          <w:sz w:val="30"/>
          <w:szCs w:val="30"/>
          <w:u w:val="single"/>
        </w:rPr>
      </w:pPr>
    </w:p>
    <w:p w14:paraId="1F47C856" w14:textId="77777777" w:rsidR="001C6973" w:rsidRPr="00712F09" w:rsidRDefault="002F1204" w:rsidP="002F1204">
      <w:pPr>
        <w:pStyle w:val="Paragraphedeliste"/>
        <w:numPr>
          <w:ilvl w:val="0"/>
          <w:numId w:val="1"/>
        </w:numPr>
        <w:spacing w:line="240" w:lineRule="auto"/>
        <w:jc w:val="both"/>
        <w:rPr>
          <w:sz w:val="28"/>
          <w:szCs w:val="28"/>
          <w:u w:val="single"/>
        </w:rPr>
      </w:pPr>
      <w:r w:rsidRPr="00712F09">
        <w:rPr>
          <w:sz w:val="28"/>
          <w:szCs w:val="28"/>
          <w:u w:val="single"/>
        </w:rPr>
        <w:t>Politique de gestion</w:t>
      </w:r>
    </w:p>
    <w:p w14:paraId="1FDD3B93" w14:textId="77777777" w:rsidR="002F1204" w:rsidRDefault="002F1204" w:rsidP="002F1204">
      <w:pPr>
        <w:pStyle w:val="Paragraphedeliste"/>
        <w:spacing w:line="240" w:lineRule="auto"/>
        <w:ind w:left="1080"/>
        <w:jc w:val="both"/>
      </w:pPr>
    </w:p>
    <w:p w14:paraId="4DFA5E33" w14:textId="77777777" w:rsidR="00F178C5" w:rsidRDefault="0004428E" w:rsidP="00F178C5">
      <w:pPr>
        <w:pStyle w:val="Paragraphedeliste"/>
        <w:numPr>
          <w:ilvl w:val="0"/>
          <w:numId w:val="2"/>
        </w:numPr>
        <w:rPr>
          <w:sz w:val="26"/>
          <w:szCs w:val="26"/>
          <w:u w:val="single"/>
        </w:rPr>
      </w:pPr>
      <w:r>
        <w:rPr>
          <w:sz w:val="26"/>
          <w:szCs w:val="26"/>
          <w:u w:val="single"/>
        </w:rPr>
        <w:t>E</w:t>
      </w:r>
      <w:r w:rsidR="000B0696" w:rsidRPr="000B0696">
        <w:rPr>
          <w:sz w:val="26"/>
          <w:szCs w:val="26"/>
          <w:u w:val="single"/>
        </w:rPr>
        <w:t>volution des marchés financiers</w:t>
      </w:r>
    </w:p>
    <w:p w14:paraId="0CB59617" w14:textId="01F92483" w:rsidR="00F178C5" w:rsidRPr="00F178C5" w:rsidRDefault="00F178C5" w:rsidP="00F178C5">
      <w:pPr>
        <w:rPr>
          <w:sz w:val="26"/>
          <w:szCs w:val="26"/>
          <w:u w:val="single"/>
        </w:rPr>
      </w:pPr>
      <w:r w:rsidRPr="00F178C5">
        <w:rPr>
          <w:b/>
          <w:bCs/>
        </w:rPr>
        <w:t>Janvier 2019</w:t>
      </w:r>
    </w:p>
    <w:p w14:paraId="2D4BB49E" w14:textId="77777777" w:rsidR="00F178C5" w:rsidRDefault="00F178C5" w:rsidP="00F178C5">
      <w:r>
        <w:t xml:space="preserve">Le marché a commencé l’année sous les meilleurs auspices. Malgré l’absence d’un catalyseur principal, la seule amélioration du sentiment des investisseurs a entrainé un redéploiement important du cash vers les actifs risqués après la violente baisse de fin 2018. Ce mouvement </w:t>
      </w:r>
      <w:proofErr w:type="spellStart"/>
      <w:r>
        <w:t>risk</w:t>
      </w:r>
      <w:proofErr w:type="spellEnd"/>
      <w:r>
        <w:t>-on a permis de reconnecter un peu plus les marchés aux fondamentaux, certes en décélérations mais néanmoins toujours favorables. Aux Etats-Unis, les publications économiques ont été de très bonne facture tant sur les chiffres de l’emploi, la vigueur du consommateur ou le secteur manufacturier. De plus, la Fed a délivré un message ultra-</w:t>
      </w:r>
      <w:proofErr w:type="spellStart"/>
      <w:r>
        <w:t>dovish</w:t>
      </w:r>
      <w:proofErr w:type="spellEnd"/>
      <w:r>
        <w:t xml:space="preserve"> promettant patience et flexibilité tant sur les taux directeurs que sur la réduction du bilan. En Europe, la situation est plus contrastée avec d’un côté le ralentissement marqué en Allemagne ainsi que le retour en récession technique de l’Italie, et de l’autre la résilience de la croissance en France et en Espagne. De son côté, la BCE a souligné la montée des risques pesant sur la Zone Euro et a confirmé son biais </w:t>
      </w:r>
      <w:proofErr w:type="spellStart"/>
      <w:r>
        <w:t>ultraaccommodant</w:t>
      </w:r>
      <w:proofErr w:type="spellEnd"/>
      <w:r>
        <w:t>. En termes géographiques, toutes les zones finissent en forte hausse mais les pays émergents (MSCI EM $ : +8,8%) et les Etats-Unis (S&amp;P 500 $ : +8,0%) ont surperformé l’Europe (</w:t>
      </w:r>
      <w:proofErr w:type="spellStart"/>
      <w:r>
        <w:t>Stoxx</w:t>
      </w:r>
      <w:proofErr w:type="spellEnd"/>
      <w:r>
        <w:t xml:space="preserve"> 600 € : +6,3%). </w:t>
      </w:r>
    </w:p>
    <w:p w14:paraId="4C5CD715" w14:textId="77777777" w:rsidR="00F178C5" w:rsidRPr="00F178C5" w:rsidRDefault="00F178C5" w:rsidP="00F178C5">
      <w:pPr>
        <w:rPr>
          <w:b/>
          <w:bCs/>
        </w:rPr>
      </w:pPr>
      <w:r w:rsidRPr="00F178C5">
        <w:rPr>
          <w:b/>
          <w:bCs/>
        </w:rPr>
        <w:t xml:space="preserve">Février 2019 </w:t>
      </w:r>
    </w:p>
    <w:p w14:paraId="20B4179F" w14:textId="77777777" w:rsidR="00F178C5" w:rsidRDefault="00F178C5" w:rsidP="00F178C5">
      <w:r>
        <w:t xml:space="preserve"> L’évolution de la crise commerciale sino-américaine a monopolisé les préoccupations des autorités monétaires et des investisseurs. En Europe, la déception s’est concentrée sur la croissance de l’économie allemande. Face à cette dégradation et au spectre du Brexit, la BCE a maintenu son discours accommodant sur les conditions monétaires en Europe. Lors de sa dernière réunion, la prudence affichée par la Banque Centrale américaine sur l’évolution de la croissance mondiale a favorisé la détente des taux obligataires. Dans ce contexte économique, les investisseurs ont poursuivi leurs achats d’obligations principalement sur les titres à rendements élevés délaissant quelque peu les titres souverains peu rémunérateurs. Le taux à 10 ans allemand augmente de 3bps à 0.18% </w:t>
      </w:r>
    </w:p>
    <w:p w14:paraId="37FB042E" w14:textId="77777777" w:rsidR="00F178C5" w:rsidRPr="00F178C5" w:rsidRDefault="00F178C5" w:rsidP="00F178C5">
      <w:pPr>
        <w:rPr>
          <w:b/>
          <w:bCs/>
        </w:rPr>
      </w:pPr>
      <w:r>
        <w:lastRenderedPageBreak/>
        <w:t xml:space="preserve"> </w:t>
      </w:r>
      <w:r w:rsidRPr="00F178C5">
        <w:rPr>
          <w:b/>
          <w:bCs/>
        </w:rPr>
        <w:t xml:space="preserve">Mars 2019 </w:t>
      </w:r>
    </w:p>
    <w:p w14:paraId="33DC3540" w14:textId="77777777" w:rsidR="00F178C5" w:rsidRDefault="00F178C5" w:rsidP="00F178C5">
      <w:r>
        <w:t xml:space="preserve"> Le début du mois de mars a confirmé l’ampleur du ralentissement de l’économie mondiale. L'Europe a publié les chiffres les plus préoccupants, notamment en Allemagne avec le secteur industriel extrêmement fragilisé par la baisse du commerce mondial. Les Etats-Unis ont également été impacté dans une moindre mesure par ce phénomène. Dans ce contexte, la communication prudente de la FED sur les perspectives économiques a été un des principaux facteurs ayant alimenté la tendance des marchés. La BCE a également contribué à la forte détente des taux européens sur le mois.  Toutefois, en fin de mois, le risque moindre d’une sortie brutale de l‘Angleterre de la zone « Euro » et le cheminement positif des négociations sino-américaines ont alimenté la reprise des marchés.  </w:t>
      </w:r>
    </w:p>
    <w:p w14:paraId="21F3983E" w14:textId="77777777" w:rsidR="00F178C5" w:rsidRPr="00F178C5" w:rsidRDefault="00F178C5" w:rsidP="00F178C5">
      <w:pPr>
        <w:rPr>
          <w:b/>
          <w:bCs/>
        </w:rPr>
      </w:pPr>
      <w:r w:rsidRPr="00F178C5">
        <w:rPr>
          <w:b/>
          <w:bCs/>
        </w:rPr>
        <w:t xml:space="preserve">Avril 2019 </w:t>
      </w:r>
    </w:p>
    <w:p w14:paraId="19243AA6" w14:textId="77777777" w:rsidR="00F178C5" w:rsidRDefault="00F178C5" w:rsidP="00F178C5">
      <w:r>
        <w:t xml:space="preserve">Le mois d’avril s’inscrit dans la tendance commencée en début d’année avec une hausse robuste des principaux indicateurs financiers. Le discours accommodant des banques centrales, les risques politiques (Brexit, guerre commerciale Sino-américaine) en voie de résolution et la divulgation de données économiques soulignant une certaine stabilisation de l’économie favorisent la valorisation des principaux actifs financiers.  L’analyse du PIB US du 1T19 (+3.2%) ne permet pas d’extrapoler une reprise de la croissance américaine pour les prochains mois. En effet, l’impact des stocks explique en grande partie la surprise positive du PIB US. Le 10 ans US clôture à 2.50% (+10 bps).  Ce contexte économique reste porteur pour les investisseurs : liquidités abondantes, environnement économique peu volatile, inflation contrôlée.  </w:t>
      </w:r>
    </w:p>
    <w:p w14:paraId="1DEAA7A8" w14:textId="77777777" w:rsidR="00F178C5" w:rsidRPr="00F178C5" w:rsidRDefault="00F178C5" w:rsidP="00F178C5">
      <w:pPr>
        <w:rPr>
          <w:b/>
          <w:bCs/>
        </w:rPr>
      </w:pPr>
      <w:r w:rsidRPr="00F178C5">
        <w:rPr>
          <w:b/>
          <w:bCs/>
        </w:rPr>
        <w:t xml:space="preserve"> Mai 2019 </w:t>
      </w:r>
    </w:p>
    <w:p w14:paraId="4E2E9818" w14:textId="77777777" w:rsidR="00F178C5" w:rsidRDefault="00F178C5" w:rsidP="00F178C5">
      <w:r>
        <w:t xml:space="preserve">Les avancées dans les négociations sino-américaines intervenues depuis février ont été violemment remises en cause laissant peu d’espoir pour une résolution rapide de ce conflit commercial majeur. En Europe, les incertitudes liées aux dérives budgétaires italiennes et l’impact potentiel du Brexit augmentent les risques </w:t>
      </w:r>
      <w:proofErr w:type="spellStart"/>
      <w:r>
        <w:t>économico-politiques</w:t>
      </w:r>
      <w:proofErr w:type="spellEnd"/>
      <w:r>
        <w:t xml:space="preserve"> dans la région.  L’impact de ces éléments sur les principaux indices boursiers est important : S&amp;P 500 -5.9%, EuroStoxx50 - 5,5%.  </w:t>
      </w:r>
    </w:p>
    <w:p w14:paraId="6C8DB62B" w14:textId="77777777" w:rsidR="00F178C5" w:rsidRPr="00F178C5" w:rsidRDefault="00F178C5" w:rsidP="00F178C5">
      <w:pPr>
        <w:rPr>
          <w:b/>
          <w:bCs/>
        </w:rPr>
      </w:pPr>
      <w:r w:rsidRPr="00F178C5">
        <w:rPr>
          <w:b/>
          <w:bCs/>
        </w:rPr>
        <w:t xml:space="preserve">Juin 2019 </w:t>
      </w:r>
    </w:p>
    <w:p w14:paraId="13928D94" w14:textId="77777777" w:rsidR="00F178C5" w:rsidRDefault="00F178C5" w:rsidP="00F178C5">
      <w:r>
        <w:t>Les marchés ont été rassurés par la reprise des négociations commerciales entre les EU et la Chine et par un discours ultra-accommodant des Banques Centrales US et européenne.  La communication de la FED en juin démontre que celle-ci réfléchit à une possible baisse de taux à un horizon relativement court. Les Eurodollars intègrent une baisse d’au moins 0.25% des FED Funds d’ici la fin du troisième trimestre 2019 et un point bas sur les FED Funds en mars 2021 à 1.50%. En Europe, M. Draghi, à l’approche de la fin de son mandat de Président de la Banque Centrale Européenne, signalise que des mesures additionnelles pourraient être nécessaires si l’inflation en zone euro restait atone.</w:t>
      </w:r>
    </w:p>
    <w:p w14:paraId="784E2747" w14:textId="77777777" w:rsidR="00F178C5" w:rsidRPr="00F178C5" w:rsidRDefault="00F178C5" w:rsidP="00F178C5">
      <w:pPr>
        <w:rPr>
          <w:b/>
          <w:bCs/>
        </w:rPr>
      </w:pPr>
      <w:r w:rsidRPr="00F178C5">
        <w:rPr>
          <w:b/>
          <w:bCs/>
        </w:rPr>
        <w:t>Juillet 2019</w:t>
      </w:r>
    </w:p>
    <w:p w14:paraId="6945B7B1" w14:textId="77777777" w:rsidR="00F178C5" w:rsidRDefault="00F178C5" w:rsidP="00F178C5">
      <w:r>
        <w:t xml:space="preserve">Malgré l’optimisme dans l’évolution des relations sino-américaines après la réunion du G-20 de fin juin, le mois s’achève par l’exacerbation des tensions commerciales provoquant un violent mouvement d’aversion au risque. </w:t>
      </w:r>
    </w:p>
    <w:p w14:paraId="32A4E688" w14:textId="77777777" w:rsidR="00F178C5" w:rsidRDefault="00F178C5" w:rsidP="00F178C5">
      <w:r>
        <w:t xml:space="preserve">Dans un contexte de publication de statistiques soulignant la poursuite du ralentissement économique (zone Euro, Chine et dans une moindre mesure américaine), les banques centrales </w:t>
      </w:r>
      <w:r>
        <w:lastRenderedPageBreak/>
        <w:t xml:space="preserve">accentuent leurs politiques monétaires accommodantes. Comme largement anticipé par les marchés, la Fed réduit de 0.25% ses taux directeurs mettant en avant les risques sur l’évolution de l’économie mondiale. Le discours de </w:t>
      </w:r>
      <w:proofErr w:type="spellStart"/>
      <w:r>
        <w:t>M.Powell</w:t>
      </w:r>
      <w:proofErr w:type="spellEnd"/>
      <w:r>
        <w:t xml:space="preserve"> moins </w:t>
      </w:r>
      <w:proofErr w:type="spellStart"/>
      <w:r>
        <w:t>dovish</w:t>
      </w:r>
      <w:proofErr w:type="spellEnd"/>
      <w:r>
        <w:t xml:space="preserve"> que prévu favorise le dollar qui s’apprécie de 2.7% contre l’euro. </w:t>
      </w:r>
    </w:p>
    <w:p w14:paraId="7B2CB217" w14:textId="77777777" w:rsidR="00F178C5" w:rsidRDefault="00F178C5" w:rsidP="00F178C5">
      <w:r>
        <w:t xml:space="preserve">En Europe, M Draghi prône la mise en place de nouvelles mesures d’accompagnement de l’activité économique dans un environnement d’inflation atone. L’impact de ces éléments est important sur la courbe des taux d’Etat : le taux allemand à 10 ans atteint -0.44% contre -0.33% en début de mois. </w:t>
      </w:r>
    </w:p>
    <w:p w14:paraId="7CB90F84" w14:textId="77777777" w:rsidR="00F178C5" w:rsidRDefault="00F178C5" w:rsidP="00F178C5">
      <w:r>
        <w:t xml:space="preserve">Enfin, notons la surperformance notable des marchés « actions » américains soutenus par la décision de la FED et l’annonce de résultats des entreprises jugés dans leur ensemble résilients. </w:t>
      </w:r>
    </w:p>
    <w:p w14:paraId="62954232" w14:textId="77777777" w:rsidR="00F178C5" w:rsidRDefault="00F178C5" w:rsidP="00F178C5">
      <w:r>
        <w:t xml:space="preserve">Le S&amp;P500 gagne 1.31% et le Dow Jones 0.99%. En Europe, le </w:t>
      </w:r>
      <w:proofErr w:type="spellStart"/>
      <w:r>
        <w:t>Stoxx</w:t>
      </w:r>
      <w:proofErr w:type="spellEnd"/>
      <w:r>
        <w:t xml:space="preserve"> 600 s’apprécie de 0.23% et le CAC40 perd 0.36%.  </w:t>
      </w:r>
    </w:p>
    <w:p w14:paraId="13197320" w14:textId="77777777" w:rsidR="00F178C5" w:rsidRDefault="00F178C5" w:rsidP="00F178C5">
      <w:r>
        <w:t xml:space="preserve">La tendance dictée par les banques centrales sur l’évolution prochaine des taux d’intérêt a permis une performance soutenue de la dette souveraine européenne et principalement périphérique (les taux italiens à 10 ans perdent 56 bps sur le mois pour atteindre 1.54%, plus bas depuis 2016).  Sur la dette privée, le mouvement est moins marqué : l’indice Crossover reste stable en Europe (254 bps). Aux Etats-Unis, l’indice IBOX IG, investi sur le secteur Investment Grade US gagne 2.6% en Euro. </w:t>
      </w:r>
    </w:p>
    <w:p w14:paraId="526248DF" w14:textId="77777777" w:rsidR="00F178C5" w:rsidRPr="00F178C5" w:rsidRDefault="00F178C5" w:rsidP="00F178C5">
      <w:pPr>
        <w:rPr>
          <w:b/>
          <w:bCs/>
        </w:rPr>
      </w:pPr>
      <w:r w:rsidRPr="00F178C5">
        <w:rPr>
          <w:b/>
          <w:bCs/>
        </w:rPr>
        <w:t>Aout 2019</w:t>
      </w:r>
    </w:p>
    <w:p w14:paraId="1F928056" w14:textId="77777777" w:rsidR="00F178C5" w:rsidRDefault="00F178C5" w:rsidP="00F178C5">
      <w:r>
        <w:t xml:space="preserve">Le retour de la volatilité sur les marchés « actions » et de « crédit » aura marqué la tendance aoûtienne. Elle trouve son origine dans les nouvelles discordances commerciales entre les Etats-Unis et la Chine. L’escalade actuelle et son corollaire d’incertitudes économiques fragilisent la croissance future et notamment les décisions d’investissement des entreprises. L’incidence du Brexit et l’évolution des tensions à Hong Kong ont ajouté un degré de risque au contexte actuel. Dans le prolongement des mois antérieurs, les indicateurs d’offre (PMI manufacturiers notamment) continuent de se dégrader en Europe, aux US et en Chine. Les banques centrales européennes et américaines (baisse des FED </w:t>
      </w:r>
      <w:proofErr w:type="spellStart"/>
      <w:r>
        <w:t>funds</w:t>
      </w:r>
      <w:proofErr w:type="spellEnd"/>
      <w:r>
        <w:t xml:space="preserve">) réagissent en prenant des mesures préventives pour réduire les impacts de la crise actuelle du commerce mondial. Les taux longs souverains se détendent : le 10 ans allemand termine sur un niveau historiquement bas (-0.70%) et le taux américain à +1.49%. L’indice Euro High </w:t>
      </w:r>
      <w:proofErr w:type="spellStart"/>
      <w:r>
        <w:t>Yield</w:t>
      </w:r>
      <w:proofErr w:type="spellEnd"/>
      <w:r>
        <w:t xml:space="preserve"> s’apprécie de 0.63%. Sur le mois, le CAC 40 baisse de 0.70%, le S&amp;P 500 perd 0.56%.  </w:t>
      </w:r>
    </w:p>
    <w:p w14:paraId="5252173E" w14:textId="77777777" w:rsidR="00F178C5" w:rsidRPr="00F178C5" w:rsidRDefault="00F178C5" w:rsidP="00F178C5">
      <w:pPr>
        <w:rPr>
          <w:b/>
          <w:bCs/>
        </w:rPr>
      </w:pPr>
      <w:r w:rsidRPr="00F178C5">
        <w:rPr>
          <w:b/>
          <w:bCs/>
        </w:rPr>
        <w:t xml:space="preserve">Septembre 2019 </w:t>
      </w:r>
    </w:p>
    <w:p w14:paraId="3252819D" w14:textId="77777777" w:rsidR="00F178C5" w:rsidRDefault="00F178C5" w:rsidP="00F178C5">
      <w:r>
        <w:t>En septembre, différents facteurs ont permis aux marchés financiers de maintenir une tendance positive. Les décisions des banques centrales européennes et américaines ont rassuré les investisseurs sur leurs volontés de soutenir l’activité économique et offrir de la liquidité au système financier. En effet, le ralentissement économique s’accentue en Europe comme le démontre l’indice PMI manufacturier allemand qui atteint en août un plus bas depuis 2009. Les données économiques en Chine où la croissance de la production industrielle atteint un plus bas depuis 17 ans confirment également cette synchronisation du cycle économique mondial.   La reprise prévue des négociations commerciales en octobre, avec la visite du vice-Premier ministre chinois aux Etats-Unis, a été interprétée favorablement soulignant que les deux nations ont un intérêt commun à poursuivre la recherche d’un accord à un moment où leurs économies ralentissent.  En fin de mois, le processus de destitution du Président Trump lancé par le parti démocrate marque le début de la campagne présidentielle américaine.</w:t>
      </w:r>
    </w:p>
    <w:p w14:paraId="22432094" w14:textId="77777777" w:rsidR="00F178C5" w:rsidRPr="00F178C5" w:rsidRDefault="00F178C5" w:rsidP="00F178C5">
      <w:pPr>
        <w:rPr>
          <w:b/>
          <w:bCs/>
        </w:rPr>
      </w:pPr>
      <w:r w:rsidRPr="00F178C5">
        <w:rPr>
          <w:b/>
          <w:bCs/>
        </w:rPr>
        <w:lastRenderedPageBreak/>
        <w:t>Octobre 2019</w:t>
      </w:r>
    </w:p>
    <w:p w14:paraId="04459E9E" w14:textId="77777777" w:rsidR="00F178C5" w:rsidRDefault="00F178C5" w:rsidP="00F178C5">
      <w:r>
        <w:t xml:space="preserve">La baisse du marché « actions » sur les 2 premiers jours du mois d’octobre (- 4.5% sur le CAC40) dans le sillage de la publication d’indicateurs économiques américains particulièrement décevants aura fait craindre un mois d’octobre complexe. Il n’en fût rien. Le marché termine sur une hausse de 0.92%. Du côté obligataire, les taux européens se tendent fortement. Le 10 ans allemand termine à -0.40% (+17 bps mensuels). </w:t>
      </w:r>
    </w:p>
    <w:p w14:paraId="7DE2C67F" w14:textId="77777777" w:rsidR="00F178C5" w:rsidRDefault="00F178C5" w:rsidP="00F178C5">
      <w:r>
        <w:t xml:space="preserve">Les deux principales sources d’incertitudes qui pèsent sur les marchés depuis plusieurs trimestres ont connu des évolutions favorables. Tout d’abord, la probabilité d’une annonce d’un Brexit non-coordonné a fortement diminué. L’accord annoncé par l’Union Européenne et le Royaume-Uni a favorisé une lecture plus consensuelle de la résolution de ce sujet commencé en 2016. De nouvelles échéances cruciales restent toutefois à lever avant de parvenir à une solution définitive du Brexit. L’évolution positive du conflit commercial entre les Etats-Unis et la Chine a également favorisé les actifs risqués. Les dirigeants des 2 nations ont annoncé en milieu de mois des mesures allant dans le sens d’une reprise constructive de ces négociations. Il n’en reste pas moins que, compte tenu de l’historique complexe de celles-ci, des coups d’arrêt brutaux sont toujours susceptibles d’intervenir. </w:t>
      </w:r>
    </w:p>
    <w:p w14:paraId="7FE5F1B1" w14:textId="77777777" w:rsidR="00F178C5" w:rsidRDefault="00F178C5" w:rsidP="00F178C5">
      <w:r>
        <w:t xml:space="preserve">A ces éléments favorables s’ajoutent les annonces des banques centrales américaines et européennes toujours actives pour soutenir l’activité économique. La FED baisse ses taux directeurs de 25 bps et la BCE maintient son discours accommodant et abreuve le marché de liquidités avec le début du nouveau « quantitative </w:t>
      </w:r>
      <w:proofErr w:type="spellStart"/>
      <w:r>
        <w:t>easing</w:t>
      </w:r>
      <w:proofErr w:type="spellEnd"/>
      <w:r>
        <w:t xml:space="preserve"> ».  </w:t>
      </w:r>
    </w:p>
    <w:p w14:paraId="3376015F" w14:textId="77777777" w:rsidR="00F178C5" w:rsidRPr="00F178C5" w:rsidRDefault="00F178C5" w:rsidP="00F178C5">
      <w:pPr>
        <w:rPr>
          <w:b/>
          <w:bCs/>
        </w:rPr>
      </w:pPr>
      <w:r w:rsidRPr="00F178C5">
        <w:rPr>
          <w:b/>
          <w:bCs/>
        </w:rPr>
        <w:t>Novembre 2019</w:t>
      </w:r>
    </w:p>
    <w:p w14:paraId="511F6CE8" w14:textId="77777777" w:rsidR="00F178C5" w:rsidRPr="00E336D8" w:rsidRDefault="00F178C5" w:rsidP="00F178C5">
      <w:r w:rsidRPr="00E336D8">
        <w:t>Les déclarations liées à la guerre commerciale entre la Chine et les Etats-Unis furent de nouveau l’élément moteur de l’évolution des marchés sur le mois de novembre.  En début de mois, l’apaisement apparent entre les 2 nations a favorisé les placements à risque. De plus, la diffusion d’importants indicateurs économiques montrant une stabilisation relative de l’activité économique a également été interprétée favorablement par les marchés. Aux Etats-Unis, les créations d’emplois toujours robustes (+128k contre 85k attendues), la hausse de l’ISM non</w:t>
      </w:r>
      <w:r>
        <w:t xml:space="preserve"> </w:t>
      </w:r>
      <w:r w:rsidRPr="00E336D8">
        <w:t xml:space="preserve">manufacturier (54.7) ; en Allemagne, le PIB du 3T19 positif (+0.1%) et enfin en Chine, le PMI manufacturier publié à 50.2 illustrent cette amélioration. Le S&amp;P 500 gagne 3.4% et le </w:t>
      </w:r>
      <w:proofErr w:type="spellStart"/>
      <w:r w:rsidRPr="00E336D8">
        <w:t>Stoxx</w:t>
      </w:r>
      <w:proofErr w:type="spellEnd"/>
      <w:r w:rsidRPr="00E336D8">
        <w:t xml:space="preserve"> 600 2.7%. Cependant, le 28 novembre, la décision de M. Trump de promulguer une loi soutenant les manifestations « </w:t>
      </w:r>
      <w:proofErr w:type="spellStart"/>
      <w:r w:rsidRPr="00E336D8">
        <w:t>pro-démocratie</w:t>
      </w:r>
      <w:proofErr w:type="spellEnd"/>
      <w:r w:rsidRPr="00E336D8">
        <w:t xml:space="preserve"> » à Hong Kong met à mal l’avancée des négociations, la Chine annonçant de futures mesures de représailles. Les multiples volte-face du président américain incitent à maintenir une approche défensive pour les expositions aux actifs risqués, les contours du possible accord </w:t>
      </w:r>
      <w:r>
        <w:t xml:space="preserve">commercial </w:t>
      </w:r>
      <w:r w:rsidRPr="00E336D8">
        <w:t xml:space="preserve">entre ces 2 nations restant pour l’heure encore peu quantifiables. Au-delà de ces tergiversations politiques, l’impact de ces incertitudes est réel sur les perspectives de résultats des entreprises et principalement sur leurs décisions d’investissement, véritable facteur de croissance de moyen terme. </w:t>
      </w:r>
    </w:p>
    <w:p w14:paraId="3DA1E07D" w14:textId="3C8DD2E5" w:rsidR="00F178C5" w:rsidRDefault="00F178C5" w:rsidP="00F178C5">
      <w:pPr>
        <w:rPr>
          <w:b/>
          <w:bCs/>
        </w:rPr>
      </w:pPr>
      <w:r w:rsidRPr="00F178C5">
        <w:rPr>
          <w:b/>
          <w:bCs/>
        </w:rPr>
        <w:t>Décembre 2019</w:t>
      </w:r>
    </w:p>
    <w:p w14:paraId="7D6F5AEF" w14:textId="06F547F1" w:rsidR="00AC0F39" w:rsidRDefault="00AC0F39" w:rsidP="00AC0F39">
      <w:r>
        <w:t xml:space="preserve">Décembre restera un mois particulièrement favorable aux actifs à risque. Après de multiples rebondissements dans les négociations commerciales sino-américaines, le principe d’un accord entre la Chine et les Etats-Unis a favorisé un retour des investisseurs sur les marchés « actions » et de « dettes privées ». Quant au Brexit, la majorité parlementaire obtenue par Boris Johnson doit lui </w:t>
      </w:r>
      <w:r>
        <w:lastRenderedPageBreak/>
        <w:t xml:space="preserve">permettre de réaliser le Brexit négocié en octobre avec la Commission européenne. L’éloignement d’un Brexit-dur a réduit le risque systémique planant sur l’économie européenne depuis plus de 3 ans. Sur le plan fondamental, l’arrêt de la dégradation d’importantes données économiques publiées en décembre (IFO en Allemagne, PMI US, PMI Chine) contribue également à cette tendance favorable des marchés. Sur les marchés « actions », les indices terminent proche de leurs plus hauts annuels. Le S&amp;P gagne 2.9%, le </w:t>
      </w:r>
      <w:proofErr w:type="spellStart"/>
      <w:r>
        <w:t>Stoxx</w:t>
      </w:r>
      <w:proofErr w:type="spellEnd"/>
      <w:r>
        <w:t xml:space="preserve"> 50, 1.1%.</w:t>
      </w:r>
      <w:r w:rsidRPr="004508DB">
        <w:t xml:space="preserve"> </w:t>
      </w:r>
      <w:r>
        <w:t>Le retour des flux sur certaines zones géographiques (ex. Chine, Brésil) et certains secteurs malmenés en 2019 (automobiles, banques) ont renforcé ce mouvement. Les taux souverains américains et allemands clôturent à +1.92% et -0.18%</w:t>
      </w:r>
    </w:p>
    <w:p w14:paraId="70408151" w14:textId="77777777" w:rsidR="002F1204" w:rsidRPr="00712F09" w:rsidRDefault="002F1204" w:rsidP="002F1204">
      <w:pPr>
        <w:pStyle w:val="Paragraphedeliste"/>
        <w:numPr>
          <w:ilvl w:val="0"/>
          <w:numId w:val="2"/>
        </w:numPr>
        <w:spacing w:line="240" w:lineRule="auto"/>
        <w:jc w:val="both"/>
        <w:rPr>
          <w:sz w:val="26"/>
          <w:szCs w:val="26"/>
          <w:u w:val="single"/>
        </w:rPr>
      </w:pPr>
      <w:r w:rsidRPr="00712F09">
        <w:rPr>
          <w:sz w:val="26"/>
          <w:szCs w:val="26"/>
          <w:u w:val="single"/>
        </w:rPr>
        <w:t>Politique des OPCVM</w:t>
      </w:r>
    </w:p>
    <w:p w14:paraId="75ADFC81" w14:textId="77777777" w:rsidR="002F1204" w:rsidRDefault="002F1204" w:rsidP="002F1204">
      <w:pPr>
        <w:pStyle w:val="Paragraphedeliste"/>
        <w:spacing w:line="240" w:lineRule="auto"/>
        <w:ind w:left="1440"/>
        <w:jc w:val="both"/>
      </w:pPr>
    </w:p>
    <w:p w14:paraId="2EBCD946" w14:textId="77777777" w:rsidR="002F1204" w:rsidRPr="00712F09" w:rsidRDefault="002F1204" w:rsidP="002F1204">
      <w:pPr>
        <w:pStyle w:val="Paragraphedeliste"/>
        <w:numPr>
          <w:ilvl w:val="1"/>
          <w:numId w:val="2"/>
        </w:numPr>
        <w:spacing w:line="240" w:lineRule="auto"/>
        <w:jc w:val="both"/>
        <w:rPr>
          <w:b/>
          <w:sz w:val="24"/>
          <w:szCs w:val="24"/>
        </w:rPr>
      </w:pPr>
      <w:r w:rsidRPr="00712F09">
        <w:rPr>
          <w:b/>
          <w:sz w:val="24"/>
          <w:szCs w:val="24"/>
        </w:rPr>
        <w:t>Nos actes de gestion</w:t>
      </w:r>
    </w:p>
    <w:p w14:paraId="0A21A72E" w14:textId="77777777" w:rsidR="00F178C5" w:rsidRDefault="00F178C5" w:rsidP="00F178C5">
      <w:pPr>
        <w:pStyle w:val="paragraph"/>
        <w:spacing w:before="0" w:beforeAutospacing="0" w:after="0" w:afterAutospacing="0"/>
        <w:ind w:left="1410"/>
        <w:jc w:val="both"/>
        <w:textAlignment w:val="baseline"/>
        <w:rPr>
          <w:rFonts w:ascii="&amp;quot" w:hAnsi="&amp;quot"/>
          <w:sz w:val="18"/>
          <w:szCs w:val="18"/>
        </w:rPr>
      </w:pPr>
      <w:r>
        <w:rPr>
          <w:rStyle w:val="normaltextrun"/>
          <w:rFonts w:ascii="Calibri" w:hAnsi="Calibri" w:cs="Calibri"/>
          <w:sz w:val="22"/>
          <w:szCs w:val="22"/>
        </w:rPr>
        <w:t>Carlton Select Invest est un OPCVM diversifié qui a un objectif de performance annuel de 5% sur un horizon minimum de 36 mois en tirant profit de l’évolution de toutes les classes d’actifs. </w:t>
      </w:r>
      <w:r>
        <w:rPr>
          <w:rStyle w:val="eop"/>
          <w:rFonts w:ascii="Calibri" w:hAnsi="Calibri" w:cs="Calibri"/>
          <w:sz w:val="22"/>
          <w:szCs w:val="22"/>
        </w:rPr>
        <w:t> </w:t>
      </w:r>
    </w:p>
    <w:p w14:paraId="48173B18" w14:textId="77777777" w:rsidR="00F178C5" w:rsidRDefault="00F178C5" w:rsidP="00F178C5">
      <w:pPr>
        <w:pStyle w:val="paragraph"/>
        <w:spacing w:before="0" w:beforeAutospacing="0" w:after="0" w:afterAutospacing="0"/>
        <w:ind w:left="1410"/>
        <w:jc w:val="both"/>
        <w:textAlignment w:val="baseline"/>
        <w:rPr>
          <w:rFonts w:ascii="&amp;quot" w:hAnsi="&amp;quot"/>
          <w:sz w:val="18"/>
          <w:szCs w:val="18"/>
        </w:rPr>
      </w:pPr>
      <w:bookmarkStart w:id="0" w:name="_Hlk32244285"/>
      <w:r>
        <w:rPr>
          <w:rStyle w:val="normaltextrun"/>
          <w:rFonts w:ascii="Calibri" w:hAnsi="Calibri" w:cs="Calibri"/>
          <w:sz w:val="22"/>
          <w:szCs w:val="22"/>
        </w:rPr>
        <w:t>Le processus de gestion combine une approche d’allocation d’actifs, de sélection d’OPC et d’investissements en titres vifs.</w:t>
      </w:r>
      <w:r>
        <w:rPr>
          <w:rStyle w:val="eop"/>
          <w:rFonts w:ascii="Calibri" w:hAnsi="Calibri" w:cs="Calibri"/>
          <w:sz w:val="22"/>
          <w:szCs w:val="22"/>
        </w:rPr>
        <w:t> </w:t>
      </w:r>
    </w:p>
    <w:p w14:paraId="3E42E814" w14:textId="77777777" w:rsidR="00F178C5" w:rsidRDefault="00F178C5" w:rsidP="00F178C5">
      <w:pPr>
        <w:pStyle w:val="paragraph"/>
        <w:spacing w:before="0" w:beforeAutospacing="0" w:after="0" w:afterAutospacing="0"/>
        <w:ind w:left="1410"/>
        <w:jc w:val="both"/>
        <w:textAlignment w:val="baseline"/>
        <w:rPr>
          <w:rFonts w:ascii="&amp;quot" w:hAnsi="&amp;quot"/>
          <w:sz w:val="18"/>
          <w:szCs w:val="18"/>
        </w:rPr>
      </w:pPr>
      <w:r>
        <w:rPr>
          <w:rStyle w:val="normaltextrun"/>
          <w:rFonts w:ascii="Calibri" w:hAnsi="Calibri" w:cs="Calibri"/>
          <w:sz w:val="22"/>
          <w:szCs w:val="22"/>
        </w:rPr>
        <w:t xml:space="preserve">Le fonds peut être investi en OPC jusqu’à 100% de l’actif net, en titres de créances libellés en euro présentant un rating </w:t>
      </w:r>
      <w:proofErr w:type="spellStart"/>
      <w:r>
        <w:rPr>
          <w:rStyle w:val="normaltextrun"/>
          <w:rFonts w:ascii="Calibri" w:hAnsi="Calibri" w:cs="Calibri"/>
          <w:sz w:val="22"/>
          <w:szCs w:val="22"/>
        </w:rPr>
        <w:t>investment</w:t>
      </w:r>
      <w:proofErr w:type="spellEnd"/>
      <w:r>
        <w:rPr>
          <w:rStyle w:val="normaltextrun"/>
          <w:rFonts w:ascii="Calibri" w:hAnsi="Calibri" w:cs="Calibri"/>
          <w:sz w:val="22"/>
          <w:szCs w:val="22"/>
        </w:rPr>
        <w:t xml:space="preserve"> grade jusqu’à 40% de l’actif net et en actions de sociétés de grande ou moyenne capitalisation figurant dans les grands indices européens jusqu’à 20% de l’actif net. L’utilisation de dérivés, en stratégies directionnelles ou de couverture, est également autorisée via des futures et options sur les marchés de taux et/ou crédit et/ou actions et/ou devises.</w:t>
      </w:r>
      <w:r>
        <w:rPr>
          <w:rStyle w:val="eop"/>
          <w:rFonts w:ascii="Calibri" w:hAnsi="Calibri" w:cs="Calibri"/>
          <w:sz w:val="22"/>
          <w:szCs w:val="22"/>
        </w:rPr>
        <w:t> Les dérivés intégrés sur les titres obligataires avec les possibilités de remboursements anticipés (call/put) sont également autorisés.</w:t>
      </w:r>
    </w:p>
    <w:p w14:paraId="27CE115F" w14:textId="77777777" w:rsidR="00F178C5" w:rsidRDefault="00F178C5" w:rsidP="00F178C5">
      <w:pPr>
        <w:pStyle w:val="paragraph"/>
        <w:spacing w:before="0" w:beforeAutospacing="0" w:after="0" w:afterAutospacing="0"/>
        <w:ind w:left="1410"/>
        <w:jc w:val="both"/>
        <w:textAlignment w:val="baseline"/>
        <w:rPr>
          <w:rFonts w:ascii="&amp;quot" w:hAnsi="&amp;quot"/>
          <w:sz w:val="18"/>
          <w:szCs w:val="18"/>
        </w:rPr>
      </w:pPr>
      <w:r>
        <w:rPr>
          <w:rStyle w:val="eop"/>
          <w:rFonts w:ascii="Calibri" w:hAnsi="Calibri" w:cs="Calibri"/>
          <w:sz w:val="22"/>
          <w:szCs w:val="22"/>
        </w:rPr>
        <w:t> </w:t>
      </w:r>
    </w:p>
    <w:p w14:paraId="277D35A4" w14:textId="04250BB1" w:rsidR="00F178C5" w:rsidRDefault="00F178C5" w:rsidP="00F178C5">
      <w:pPr>
        <w:pStyle w:val="paragraph"/>
        <w:spacing w:before="0" w:beforeAutospacing="0" w:after="0" w:afterAutospacing="0"/>
        <w:ind w:left="1410"/>
        <w:jc w:val="both"/>
        <w:textAlignment w:val="baseline"/>
        <w:rPr>
          <w:rStyle w:val="normaltextrun"/>
          <w:rFonts w:ascii="Calibri" w:hAnsi="Calibri" w:cs="Calibri"/>
          <w:sz w:val="22"/>
          <w:szCs w:val="22"/>
        </w:rPr>
      </w:pPr>
      <w:r>
        <w:rPr>
          <w:rStyle w:val="normaltextrun"/>
          <w:rFonts w:ascii="Calibri" w:hAnsi="Calibri" w:cs="Calibri"/>
          <w:sz w:val="22"/>
          <w:szCs w:val="22"/>
        </w:rPr>
        <w:t>L’année 2019 restera une année exceptionnelle pour les différentes classes d’actifs à risque. Le S&amp;P 500 gagne +</w:t>
      </w:r>
      <w:r w:rsidR="00AC0F39">
        <w:rPr>
          <w:rStyle w:val="normaltextrun"/>
          <w:rFonts w:ascii="Calibri" w:hAnsi="Calibri" w:cs="Calibri"/>
          <w:sz w:val="22"/>
          <w:szCs w:val="22"/>
        </w:rPr>
        <w:t>28.9%</w:t>
      </w:r>
      <w:r>
        <w:rPr>
          <w:rStyle w:val="normaltextrun"/>
          <w:rFonts w:ascii="Calibri" w:hAnsi="Calibri" w:cs="Calibri"/>
          <w:sz w:val="22"/>
          <w:szCs w:val="22"/>
        </w:rPr>
        <w:t xml:space="preserve">, le </w:t>
      </w:r>
      <w:proofErr w:type="spellStart"/>
      <w:r>
        <w:rPr>
          <w:rStyle w:val="normaltextrun"/>
          <w:rFonts w:ascii="Calibri" w:hAnsi="Calibri" w:cs="Calibri"/>
          <w:sz w:val="22"/>
          <w:szCs w:val="22"/>
        </w:rPr>
        <w:t>Stoxx</w:t>
      </w:r>
      <w:proofErr w:type="spellEnd"/>
      <w:r>
        <w:rPr>
          <w:rStyle w:val="normaltextrun"/>
          <w:rFonts w:ascii="Calibri" w:hAnsi="Calibri" w:cs="Calibri"/>
          <w:sz w:val="22"/>
          <w:szCs w:val="22"/>
        </w:rPr>
        <w:t xml:space="preserve"> 50 + </w:t>
      </w:r>
      <w:r w:rsidR="00AC0F39">
        <w:rPr>
          <w:rStyle w:val="normaltextrun"/>
          <w:rFonts w:ascii="Calibri" w:hAnsi="Calibri" w:cs="Calibri"/>
          <w:sz w:val="22"/>
          <w:szCs w:val="22"/>
        </w:rPr>
        <w:t>24.8%</w:t>
      </w:r>
      <w:r w:rsidR="008F0366">
        <w:rPr>
          <w:rStyle w:val="normaltextrun"/>
          <w:rFonts w:ascii="Calibri" w:hAnsi="Calibri" w:cs="Calibri"/>
          <w:sz w:val="22"/>
          <w:szCs w:val="22"/>
        </w:rPr>
        <w:t xml:space="preserve">, </w:t>
      </w:r>
      <w:r>
        <w:rPr>
          <w:rStyle w:val="normaltextrun"/>
          <w:rFonts w:ascii="Calibri" w:hAnsi="Calibri" w:cs="Calibri"/>
          <w:sz w:val="22"/>
          <w:szCs w:val="22"/>
        </w:rPr>
        <w:t>l</w:t>
      </w:r>
      <w:r w:rsidR="008F0366">
        <w:rPr>
          <w:rStyle w:val="normaltextrun"/>
          <w:rFonts w:ascii="Calibri" w:hAnsi="Calibri" w:cs="Calibri"/>
          <w:sz w:val="22"/>
          <w:szCs w:val="22"/>
        </w:rPr>
        <w:t xml:space="preserve">’indice </w:t>
      </w:r>
      <w:proofErr w:type="spellStart"/>
      <w:r w:rsidR="008F0366">
        <w:rPr>
          <w:rStyle w:val="normaltextrun"/>
          <w:rFonts w:ascii="Calibri" w:hAnsi="Calibri" w:cs="Calibri"/>
          <w:sz w:val="22"/>
          <w:szCs w:val="22"/>
        </w:rPr>
        <w:t>Markit</w:t>
      </w:r>
      <w:proofErr w:type="spellEnd"/>
      <w:r w:rsidR="008F0366">
        <w:rPr>
          <w:rStyle w:val="normaltextrun"/>
          <w:rFonts w:ascii="Calibri" w:hAnsi="Calibri" w:cs="Calibri"/>
          <w:sz w:val="22"/>
          <w:szCs w:val="22"/>
        </w:rPr>
        <w:t xml:space="preserve"> </w:t>
      </w:r>
      <w:proofErr w:type="spellStart"/>
      <w:r w:rsidR="008F0366">
        <w:rPr>
          <w:rStyle w:val="normaltextrun"/>
          <w:rFonts w:ascii="Calibri" w:hAnsi="Calibri" w:cs="Calibri"/>
          <w:sz w:val="22"/>
          <w:szCs w:val="22"/>
        </w:rPr>
        <w:t>Iboxx</w:t>
      </w:r>
      <w:proofErr w:type="spellEnd"/>
      <w:r w:rsidR="008F0366">
        <w:rPr>
          <w:rStyle w:val="normaltextrun"/>
          <w:rFonts w:ascii="Calibri" w:hAnsi="Calibri" w:cs="Calibri"/>
          <w:sz w:val="22"/>
          <w:szCs w:val="22"/>
        </w:rPr>
        <w:t xml:space="preserve"> Euro </w:t>
      </w:r>
      <w:proofErr w:type="spellStart"/>
      <w:r w:rsidR="008F0366">
        <w:rPr>
          <w:rStyle w:val="normaltextrun"/>
          <w:rFonts w:ascii="Calibri" w:hAnsi="Calibri" w:cs="Calibri"/>
          <w:sz w:val="22"/>
          <w:szCs w:val="22"/>
        </w:rPr>
        <w:t>Liquid</w:t>
      </w:r>
      <w:proofErr w:type="spellEnd"/>
      <w:r w:rsidR="008F0366">
        <w:rPr>
          <w:rStyle w:val="normaltextrun"/>
          <w:rFonts w:ascii="Calibri" w:hAnsi="Calibri" w:cs="Calibri"/>
          <w:sz w:val="22"/>
          <w:szCs w:val="22"/>
        </w:rPr>
        <w:t xml:space="preserve"> High </w:t>
      </w:r>
      <w:proofErr w:type="spellStart"/>
      <w:r w:rsidR="008F0366">
        <w:rPr>
          <w:rStyle w:val="normaltextrun"/>
          <w:rFonts w:ascii="Calibri" w:hAnsi="Calibri" w:cs="Calibri"/>
          <w:sz w:val="22"/>
          <w:szCs w:val="22"/>
        </w:rPr>
        <w:t>Yield</w:t>
      </w:r>
      <w:proofErr w:type="spellEnd"/>
      <w:r w:rsidR="008F0366">
        <w:rPr>
          <w:rStyle w:val="normaltextrun"/>
          <w:rFonts w:ascii="Calibri" w:hAnsi="Calibri" w:cs="Calibri"/>
          <w:sz w:val="22"/>
          <w:szCs w:val="22"/>
        </w:rPr>
        <w:t xml:space="preserve"> </w:t>
      </w:r>
      <w:r>
        <w:rPr>
          <w:rStyle w:val="normaltextrun"/>
          <w:rFonts w:ascii="Calibri" w:hAnsi="Calibri" w:cs="Calibri"/>
          <w:sz w:val="22"/>
          <w:szCs w:val="22"/>
        </w:rPr>
        <w:t xml:space="preserve"> </w:t>
      </w:r>
      <w:r w:rsidR="008F0366">
        <w:rPr>
          <w:rStyle w:val="normaltextrun"/>
          <w:rFonts w:ascii="Calibri" w:hAnsi="Calibri" w:cs="Calibri"/>
          <w:sz w:val="22"/>
          <w:szCs w:val="22"/>
        </w:rPr>
        <w:t>+9.5%. Les taux souverains 10 ans allemands finissent l’année en territoire négatif (-0.21%) après avoir atteint -0,74% au pire moment des négociations commerciales. Les taux américain</w:t>
      </w:r>
      <w:r w:rsidR="00796E50">
        <w:rPr>
          <w:rStyle w:val="normaltextrun"/>
          <w:rFonts w:ascii="Calibri" w:hAnsi="Calibri" w:cs="Calibri"/>
          <w:sz w:val="22"/>
          <w:szCs w:val="22"/>
        </w:rPr>
        <w:t>s</w:t>
      </w:r>
      <w:r w:rsidR="008F0366">
        <w:rPr>
          <w:rStyle w:val="normaltextrun"/>
          <w:rFonts w:ascii="Calibri" w:hAnsi="Calibri" w:cs="Calibri"/>
          <w:sz w:val="22"/>
          <w:szCs w:val="22"/>
        </w:rPr>
        <w:t xml:space="preserve"> </w:t>
      </w:r>
      <w:r w:rsidR="00796E50">
        <w:rPr>
          <w:rStyle w:val="normaltextrun"/>
          <w:rFonts w:ascii="Calibri" w:hAnsi="Calibri" w:cs="Calibri"/>
          <w:sz w:val="22"/>
          <w:szCs w:val="22"/>
        </w:rPr>
        <w:t xml:space="preserve">de même échéances </w:t>
      </w:r>
      <w:r w:rsidR="008F0366">
        <w:rPr>
          <w:rStyle w:val="normaltextrun"/>
          <w:rFonts w:ascii="Calibri" w:hAnsi="Calibri" w:cs="Calibri"/>
          <w:sz w:val="22"/>
          <w:szCs w:val="22"/>
        </w:rPr>
        <w:t>terminent à 1.9</w:t>
      </w:r>
      <w:r w:rsidR="00796E50">
        <w:rPr>
          <w:rStyle w:val="normaltextrun"/>
          <w:rFonts w:ascii="Calibri" w:hAnsi="Calibri" w:cs="Calibri"/>
          <w:sz w:val="22"/>
          <w:szCs w:val="22"/>
        </w:rPr>
        <w:t>2%.</w:t>
      </w:r>
    </w:p>
    <w:p w14:paraId="256985DA" w14:textId="77777777" w:rsidR="008F0366" w:rsidRDefault="008F0366" w:rsidP="00F178C5">
      <w:pPr>
        <w:pStyle w:val="paragraph"/>
        <w:spacing w:before="0" w:beforeAutospacing="0" w:after="0" w:afterAutospacing="0"/>
        <w:ind w:left="1410"/>
        <w:jc w:val="both"/>
        <w:textAlignment w:val="baseline"/>
        <w:rPr>
          <w:rStyle w:val="normaltextrun"/>
          <w:rFonts w:ascii="Calibri" w:hAnsi="Calibri" w:cs="Calibri"/>
          <w:sz w:val="22"/>
          <w:szCs w:val="22"/>
        </w:rPr>
      </w:pPr>
    </w:p>
    <w:p w14:paraId="037E6D51" w14:textId="77777777" w:rsidR="00BA6D6A" w:rsidRDefault="00F178C5" w:rsidP="00F178C5">
      <w:pPr>
        <w:pStyle w:val="paragraph"/>
        <w:spacing w:before="0" w:beforeAutospacing="0" w:after="0" w:afterAutospacing="0"/>
        <w:ind w:left="1410"/>
        <w:jc w:val="both"/>
        <w:textAlignment w:val="baseline"/>
        <w:rPr>
          <w:rStyle w:val="normaltextrun"/>
          <w:rFonts w:ascii="Calibri" w:hAnsi="Calibri" w:cs="Calibri"/>
          <w:sz w:val="22"/>
          <w:szCs w:val="22"/>
        </w:rPr>
      </w:pPr>
      <w:r>
        <w:rPr>
          <w:rStyle w:val="normaltextrun"/>
          <w:rFonts w:ascii="Calibri" w:hAnsi="Calibri" w:cs="Calibri"/>
          <w:sz w:val="22"/>
          <w:szCs w:val="22"/>
        </w:rPr>
        <w:t>Plusieurs facteurs majeurs auront dictés l’évolution de celles-</w:t>
      </w:r>
      <w:r w:rsidR="00BA6D6A">
        <w:rPr>
          <w:rStyle w:val="normaltextrun"/>
          <w:rFonts w:ascii="Calibri" w:hAnsi="Calibri" w:cs="Calibri"/>
          <w:sz w:val="22"/>
          <w:szCs w:val="22"/>
        </w:rPr>
        <w:t>c</w:t>
      </w:r>
      <w:r>
        <w:rPr>
          <w:rStyle w:val="normaltextrun"/>
          <w:rFonts w:ascii="Calibri" w:hAnsi="Calibri" w:cs="Calibri"/>
          <w:sz w:val="22"/>
          <w:szCs w:val="22"/>
        </w:rPr>
        <w:t>i</w:t>
      </w:r>
      <w:r w:rsidR="00BA6D6A">
        <w:rPr>
          <w:rStyle w:val="normaltextrun"/>
          <w:rFonts w:ascii="Calibri" w:hAnsi="Calibri" w:cs="Calibri"/>
          <w:sz w:val="22"/>
          <w:szCs w:val="22"/>
        </w:rPr>
        <w:t> :</w:t>
      </w:r>
    </w:p>
    <w:p w14:paraId="0B651AB4" w14:textId="77777777" w:rsidR="00BA6D6A" w:rsidRDefault="00BA6D6A" w:rsidP="00F178C5">
      <w:pPr>
        <w:pStyle w:val="paragraph"/>
        <w:spacing w:before="0" w:beforeAutospacing="0" w:after="0" w:afterAutospacing="0"/>
        <w:ind w:left="1410"/>
        <w:jc w:val="both"/>
        <w:textAlignment w:val="baseline"/>
        <w:rPr>
          <w:rStyle w:val="normaltextrun"/>
          <w:rFonts w:ascii="Calibri" w:hAnsi="Calibri" w:cs="Calibri"/>
          <w:sz w:val="22"/>
          <w:szCs w:val="22"/>
        </w:rPr>
      </w:pPr>
    </w:p>
    <w:p w14:paraId="5604B889" w14:textId="77777777" w:rsidR="00BA6D6A" w:rsidRDefault="00F178C5" w:rsidP="00BA6D6A">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Tout d’abord, le conflit commercial entre la Chine et les Etats-Unis. Au gré des négociations complexes entre les deux nations, la volatilité des marchés fût particulièrement importante notamment avec les tweets polémiques de M. Trump. </w:t>
      </w:r>
    </w:p>
    <w:p w14:paraId="380329AC" w14:textId="3BC7E6D1" w:rsidR="00BA6D6A" w:rsidRDefault="00F178C5" w:rsidP="00BA6D6A">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L’autre élément fût le Brexit et ses modalités </w:t>
      </w:r>
      <w:r w:rsidR="00AC0F39">
        <w:rPr>
          <w:rStyle w:val="normaltextrun"/>
          <w:rFonts w:ascii="Calibri" w:hAnsi="Calibri" w:cs="Calibri"/>
          <w:sz w:val="22"/>
          <w:szCs w:val="22"/>
        </w:rPr>
        <w:t>d’</w:t>
      </w:r>
      <w:r w:rsidR="008F0366">
        <w:rPr>
          <w:rStyle w:val="normaltextrun"/>
          <w:rFonts w:ascii="Calibri" w:hAnsi="Calibri" w:cs="Calibri"/>
          <w:sz w:val="22"/>
          <w:szCs w:val="22"/>
        </w:rPr>
        <w:t>exécution</w:t>
      </w:r>
      <w:r>
        <w:rPr>
          <w:rStyle w:val="normaltextrun"/>
          <w:rFonts w:ascii="Calibri" w:hAnsi="Calibri" w:cs="Calibri"/>
          <w:sz w:val="22"/>
          <w:szCs w:val="22"/>
        </w:rPr>
        <w:t xml:space="preserve">. </w:t>
      </w:r>
    </w:p>
    <w:p w14:paraId="097F9D0A" w14:textId="28A2E609" w:rsidR="00F178C5" w:rsidRDefault="00F178C5" w:rsidP="00BA6D6A">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L</w:t>
      </w:r>
      <w:r w:rsidR="00BA6D6A">
        <w:rPr>
          <w:rStyle w:val="normaltextrun"/>
          <w:rFonts w:ascii="Calibri" w:hAnsi="Calibri" w:cs="Calibri"/>
          <w:sz w:val="22"/>
          <w:szCs w:val="22"/>
        </w:rPr>
        <w:t>e</w:t>
      </w:r>
      <w:r>
        <w:rPr>
          <w:rStyle w:val="normaltextrun"/>
          <w:rFonts w:ascii="Calibri" w:hAnsi="Calibri" w:cs="Calibri"/>
          <w:sz w:val="22"/>
          <w:szCs w:val="22"/>
        </w:rPr>
        <w:t xml:space="preserve"> point important fut le soutien total de la FED et de la BCE à contrôler préventivement toute détérioration accélérée de l’activité économique. L’abondance de liquidité qu’elles ont apportées sur les marchés financier</w:t>
      </w:r>
      <w:r w:rsidR="00337703">
        <w:rPr>
          <w:rStyle w:val="normaltextrun"/>
          <w:rFonts w:ascii="Calibri" w:hAnsi="Calibri" w:cs="Calibri"/>
          <w:sz w:val="22"/>
          <w:szCs w:val="22"/>
        </w:rPr>
        <w:t>s</w:t>
      </w:r>
      <w:r>
        <w:rPr>
          <w:rStyle w:val="normaltextrun"/>
          <w:rFonts w:ascii="Calibri" w:hAnsi="Calibri" w:cs="Calibri"/>
          <w:sz w:val="22"/>
          <w:szCs w:val="22"/>
        </w:rPr>
        <w:t xml:space="preserve"> a contribué à la bonne tenue des marchés en 2019. </w:t>
      </w:r>
    </w:p>
    <w:p w14:paraId="2FB2B97B" w14:textId="77777777" w:rsidR="00BA6D6A" w:rsidRDefault="00BA6D6A" w:rsidP="00BA6D6A">
      <w:pPr>
        <w:pStyle w:val="paragraph"/>
        <w:spacing w:before="0" w:beforeAutospacing="0" w:after="0" w:afterAutospacing="0"/>
        <w:ind w:left="2130"/>
        <w:jc w:val="both"/>
        <w:textAlignment w:val="baseline"/>
        <w:rPr>
          <w:rStyle w:val="normaltextrun"/>
          <w:rFonts w:ascii="Calibri" w:hAnsi="Calibri" w:cs="Calibri"/>
          <w:sz w:val="22"/>
          <w:szCs w:val="22"/>
        </w:rPr>
      </w:pPr>
    </w:p>
    <w:p w14:paraId="7FB82E8B" w14:textId="77777777" w:rsidR="00F178C5" w:rsidRDefault="00F178C5" w:rsidP="00F178C5">
      <w:pPr>
        <w:pStyle w:val="paragraph"/>
        <w:spacing w:before="0" w:beforeAutospacing="0" w:after="0" w:afterAutospacing="0"/>
        <w:ind w:left="141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La forte reprise des marchés dans la première partie de l’année, alors même que de nombreuses inquiétudes économiques persistaient sur les marchés, nous a amené à réduire progressivement l’exposition aux actifs risqués du fonds. Cependant, nous avons maintenu jusqu’à fin juillet une surpondération géographique sur les actions américaines. </w:t>
      </w:r>
    </w:p>
    <w:p w14:paraId="6128A28A" w14:textId="77777777" w:rsidR="00F178C5" w:rsidRDefault="00F178C5" w:rsidP="00F178C5">
      <w:pPr>
        <w:pStyle w:val="paragraph"/>
        <w:spacing w:before="0" w:beforeAutospacing="0" w:after="0" w:afterAutospacing="0"/>
        <w:ind w:left="1410"/>
        <w:jc w:val="both"/>
        <w:textAlignment w:val="baseline"/>
        <w:rPr>
          <w:rStyle w:val="normaltextrun"/>
          <w:rFonts w:ascii="Calibri" w:hAnsi="Calibri" w:cs="Calibri"/>
          <w:sz w:val="22"/>
          <w:szCs w:val="22"/>
        </w:rPr>
      </w:pPr>
    </w:p>
    <w:p w14:paraId="57DE8740" w14:textId="768282FD" w:rsidR="00F178C5" w:rsidRDefault="00F178C5" w:rsidP="00F178C5">
      <w:pPr>
        <w:pStyle w:val="paragraph"/>
        <w:spacing w:before="0" w:beforeAutospacing="0" w:after="0" w:afterAutospacing="0"/>
        <w:ind w:left="1410"/>
        <w:jc w:val="both"/>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Dans ce contexte incertain et mouvant, la poche « action » de 27% de l’actif net au 31/12/2018 a été réduite progressivement atteignant 14.2% fin août et 6.3% au 31/12/2019. </w:t>
      </w:r>
    </w:p>
    <w:p w14:paraId="07E825EA" w14:textId="77777777" w:rsidR="00BA6D6A" w:rsidRDefault="00BA6D6A" w:rsidP="00F178C5">
      <w:pPr>
        <w:pStyle w:val="paragraph"/>
        <w:spacing w:before="0" w:beforeAutospacing="0" w:after="0" w:afterAutospacing="0"/>
        <w:ind w:left="1410"/>
        <w:jc w:val="both"/>
        <w:textAlignment w:val="baseline"/>
        <w:rPr>
          <w:rStyle w:val="normaltextrun"/>
          <w:rFonts w:ascii="Calibri" w:hAnsi="Calibri" w:cs="Calibri"/>
          <w:sz w:val="22"/>
          <w:szCs w:val="22"/>
        </w:rPr>
      </w:pPr>
    </w:p>
    <w:p w14:paraId="0EF78CBA" w14:textId="4DB06D41" w:rsidR="00F178C5" w:rsidRDefault="00F178C5" w:rsidP="00F178C5">
      <w:pPr>
        <w:pStyle w:val="paragraph"/>
        <w:spacing w:before="0" w:beforeAutospacing="0" w:after="0" w:afterAutospacing="0"/>
        <w:ind w:left="141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Dans un environnement caractérisé par des risques en partie exogènes et des niveaux de taux peu rémunérateurs, nous avons renforcé notre socle de produits peu corrélés aux évolutions de court terme des marchés (Long / Short </w:t>
      </w:r>
      <w:proofErr w:type="spellStart"/>
      <w:r>
        <w:rPr>
          <w:rStyle w:val="normaltextrun"/>
          <w:rFonts w:ascii="Calibri" w:hAnsi="Calibri" w:cs="Calibri"/>
          <w:sz w:val="22"/>
          <w:szCs w:val="22"/>
        </w:rPr>
        <w:t>Equity</w:t>
      </w:r>
      <w:proofErr w:type="spellEnd"/>
      <w:r>
        <w:rPr>
          <w:rStyle w:val="normaltextrun"/>
          <w:rFonts w:ascii="Calibri" w:hAnsi="Calibri" w:cs="Calibri"/>
          <w:sz w:val="22"/>
          <w:szCs w:val="22"/>
        </w:rPr>
        <w:t xml:space="preserve"> – Long / Short Cr</w:t>
      </w:r>
      <w:r w:rsidR="00796E50">
        <w:rPr>
          <w:rStyle w:val="normaltextrun"/>
          <w:rFonts w:ascii="Calibri" w:hAnsi="Calibri" w:cs="Calibri"/>
          <w:sz w:val="22"/>
          <w:szCs w:val="22"/>
        </w:rPr>
        <w:t>é</w:t>
      </w:r>
      <w:r>
        <w:rPr>
          <w:rStyle w:val="normaltextrun"/>
          <w:rFonts w:ascii="Calibri" w:hAnsi="Calibri" w:cs="Calibri"/>
          <w:sz w:val="22"/>
          <w:szCs w:val="22"/>
        </w:rPr>
        <w:t xml:space="preserve">dit – Arbitrage fusion acquisition)- et avons également investi sur des produits de taux à sensibilité faible (High </w:t>
      </w:r>
      <w:proofErr w:type="spellStart"/>
      <w:r>
        <w:rPr>
          <w:rStyle w:val="normaltextrun"/>
          <w:rFonts w:ascii="Calibri" w:hAnsi="Calibri" w:cs="Calibri"/>
          <w:sz w:val="22"/>
          <w:szCs w:val="22"/>
        </w:rPr>
        <w:t>Yield</w:t>
      </w:r>
      <w:proofErr w:type="spellEnd"/>
      <w:r>
        <w:rPr>
          <w:rStyle w:val="normaltextrun"/>
          <w:rFonts w:ascii="Calibri" w:hAnsi="Calibri" w:cs="Calibri"/>
          <w:sz w:val="22"/>
          <w:szCs w:val="22"/>
        </w:rPr>
        <w:t xml:space="preserve"> court terme, obligataire nord européen entre autres).</w:t>
      </w:r>
      <w:r w:rsidR="00BA6D6A">
        <w:rPr>
          <w:rStyle w:val="normaltextrun"/>
          <w:rFonts w:ascii="Calibri" w:hAnsi="Calibri" w:cs="Calibri"/>
          <w:sz w:val="22"/>
          <w:szCs w:val="22"/>
        </w:rPr>
        <w:t xml:space="preserve"> La liste des produits souscrits apparait dans « mouvements au sein du fonds »</w:t>
      </w:r>
    </w:p>
    <w:p w14:paraId="7CAD1737" w14:textId="77777777" w:rsidR="00BA6D6A" w:rsidRDefault="00BA6D6A" w:rsidP="00F178C5">
      <w:pPr>
        <w:pStyle w:val="paragraph"/>
        <w:spacing w:before="0" w:beforeAutospacing="0" w:after="0" w:afterAutospacing="0"/>
        <w:ind w:left="1410"/>
        <w:jc w:val="both"/>
        <w:textAlignment w:val="baseline"/>
        <w:rPr>
          <w:rStyle w:val="normaltextrun"/>
          <w:rFonts w:ascii="Calibri" w:hAnsi="Calibri" w:cs="Calibri"/>
          <w:sz w:val="22"/>
          <w:szCs w:val="22"/>
        </w:rPr>
      </w:pPr>
    </w:p>
    <w:p w14:paraId="75FAC9A8" w14:textId="19C2BF88" w:rsidR="00F178C5" w:rsidRDefault="00F178C5" w:rsidP="00F178C5">
      <w:pPr>
        <w:pStyle w:val="paragraph"/>
        <w:spacing w:before="0" w:beforeAutospacing="0" w:after="0" w:afterAutospacing="0"/>
        <w:ind w:left="1410"/>
        <w:jc w:val="both"/>
        <w:textAlignment w:val="baseline"/>
        <w:rPr>
          <w:rFonts w:ascii="&amp;quot" w:hAnsi="&amp;quot"/>
          <w:sz w:val="18"/>
          <w:szCs w:val="18"/>
        </w:rPr>
      </w:pPr>
      <w:r>
        <w:rPr>
          <w:rStyle w:val="normaltextrun"/>
          <w:rFonts w:ascii="Calibri" w:hAnsi="Calibri" w:cs="Calibri"/>
          <w:sz w:val="22"/>
          <w:szCs w:val="22"/>
        </w:rPr>
        <w:t xml:space="preserve">A partir de l’été, l’exposition « actions » a été gérée de manière plus dynamique en profitant de mouvements de baisses exagérées. Nous avons ainsi repondéré temporairement la poche « actions » fin juillet, début octobre et fin novembre. Dans une optique de réduction des frais de gestion indirects, nous avons alors investi sur des ETF « actions » ou/et sur des actions en direct. </w:t>
      </w:r>
      <w:r w:rsidR="00337703">
        <w:rPr>
          <w:rStyle w:val="normaltextrun"/>
          <w:rFonts w:ascii="Calibri" w:hAnsi="Calibri" w:cs="Calibri"/>
          <w:sz w:val="22"/>
          <w:szCs w:val="22"/>
        </w:rPr>
        <w:t>Les obligations perpétuelles bancaires (BFCM) et assurantielles (AXA) ont également été cédées dans l’environnement porteur de fin d’année.</w:t>
      </w:r>
    </w:p>
    <w:bookmarkEnd w:id="0"/>
    <w:p w14:paraId="36ED693D" w14:textId="77777777" w:rsidR="001A734B" w:rsidRDefault="001A734B" w:rsidP="00BC401A">
      <w:pPr>
        <w:pStyle w:val="Paragraphedeliste"/>
        <w:ind w:left="1418"/>
        <w:jc w:val="both"/>
      </w:pPr>
    </w:p>
    <w:p w14:paraId="4CEB21CD" w14:textId="77777777" w:rsidR="002F1204" w:rsidRPr="00712F09" w:rsidRDefault="002F1204" w:rsidP="002F1204">
      <w:pPr>
        <w:pStyle w:val="Paragraphedeliste"/>
        <w:numPr>
          <w:ilvl w:val="1"/>
          <w:numId w:val="2"/>
        </w:numPr>
        <w:spacing w:line="240" w:lineRule="auto"/>
        <w:jc w:val="both"/>
        <w:rPr>
          <w:b/>
          <w:sz w:val="24"/>
          <w:szCs w:val="24"/>
        </w:rPr>
      </w:pPr>
      <w:r w:rsidRPr="00712F09">
        <w:rPr>
          <w:b/>
          <w:sz w:val="24"/>
          <w:szCs w:val="24"/>
        </w:rPr>
        <w:t>La performance</w:t>
      </w:r>
      <w:r w:rsidR="003047FA">
        <w:rPr>
          <w:b/>
          <w:sz w:val="24"/>
          <w:szCs w:val="24"/>
        </w:rPr>
        <w:t xml:space="preserve"> et les frais</w:t>
      </w:r>
      <w:r w:rsidRPr="00712F09">
        <w:rPr>
          <w:b/>
          <w:sz w:val="24"/>
          <w:szCs w:val="24"/>
        </w:rPr>
        <w:t xml:space="preserve"> du fonds</w:t>
      </w:r>
    </w:p>
    <w:p w14:paraId="737C8ABD" w14:textId="77777777" w:rsidR="002F1204" w:rsidRDefault="002F1204" w:rsidP="00EF0DDA">
      <w:pPr>
        <w:pStyle w:val="Paragraphedeliste"/>
        <w:ind w:left="2124"/>
        <w:jc w:val="both"/>
        <w:rPr>
          <w:sz w:val="24"/>
          <w:szCs w:val="24"/>
        </w:rPr>
      </w:pPr>
    </w:p>
    <w:p w14:paraId="0BE369A0" w14:textId="3DF2168D" w:rsidR="00712F09" w:rsidRPr="00AB28D8" w:rsidRDefault="00EF0DDA" w:rsidP="00BC401A">
      <w:pPr>
        <w:pStyle w:val="Paragraphedeliste"/>
        <w:ind w:left="1418"/>
        <w:jc w:val="both"/>
      </w:pPr>
      <w:r w:rsidRPr="0075339F">
        <w:t xml:space="preserve">En </w:t>
      </w:r>
      <w:r w:rsidRPr="00636BDB">
        <w:t>201</w:t>
      </w:r>
      <w:r w:rsidR="00F178C5">
        <w:t>9</w:t>
      </w:r>
      <w:r w:rsidR="00620841" w:rsidRPr="00636BDB">
        <w:t>,</w:t>
      </w:r>
      <w:r w:rsidRPr="00636BDB">
        <w:t xml:space="preserve"> </w:t>
      </w:r>
      <w:r w:rsidR="00AB28D8" w:rsidRPr="00636BDB">
        <w:t xml:space="preserve">Carlton </w:t>
      </w:r>
      <w:r w:rsidR="007503F9">
        <w:t>Select Invest</w:t>
      </w:r>
      <w:r w:rsidR="00443856" w:rsidRPr="00636BDB">
        <w:t xml:space="preserve"> a enregistré</w:t>
      </w:r>
      <w:r w:rsidR="00443856" w:rsidRPr="0075339F">
        <w:t xml:space="preserve"> </w:t>
      </w:r>
      <w:r w:rsidRPr="0075339F">
        <w:t>une performance d</w:t>
      </w:r>
      <w:r w:rsidR="00DF6AD7">
        <w:t>e 5,44</w:t>
      </w:r>
      <w:r w:rsidR="00BF3B7E" w:rsidRPr="00483B14">
        <w:t>%</w:t>
      </w:r>
      <w:r w:rsidRPr="00194538">
        <w:t xml:space="preserve"> </w:t>
      </w:r>
      <w:r w:rsidRPr="0075339F">
        <w:t>avant impact des frais de gestion soit une performance d</w:t>
      </w:r>
      <w:r w:rsidR="00DF6AD7">
        <w:t>e 4,30%</w:t>
      </w:r>
      <w:r w:rsidR="00712F09" w:rsidRPr="00F178C5">
        <w:rPr>
          <w:color w:val="FF0000"/>
        </w:rPr>
        <w:t xml:space="preserve"> </w:t>
      </w:r>
      <w:r w:rsidR="00712F09" w:rsidRPr="0075339F">
        <w:t>net</w:t>
      </w:r>
      <w:r w:rsidR="00BD44D7" w:rsidRPr="0075339F">
        <w:t>te</w:t>
      </w:r>
      <w:r w:rsidR="00712F09" w:rsidRPr="0075339F">
        <w:t xml:space="preserve"> de frais de gestion</w:t>
      </w:r>
      <w:r w:rsidR="00DF6AD7">
        <w:t xml:space="preserve"> pour la part I</w:t>
      </w:r>
      <w:r w:rsidR="00FA55DA">
        <w:t xml:space="preserve"> et de </w:t>
      </w:r>
      <w:r w:rsidR="00DF6AD7">
        <w:t>5,02% pour la part A</w:t>
      </w:r>
      <w:r w:rsidR="00712F09" w:rsidRPr="0075339F">
        <w:t>.</w:t>
      </w:r>
      <w:r w:rsidR="00DF6AD7">
        <w:t xml:space="preserve"> La part S, démarrée au 24/06/2019, a enregistré une performance annuelle de 1,78% avant impact des frais de gestion soit une performance de 1,63% nette de frais de gestion. </w:t>
      </w:r>
      <w:r w:rsidR="00712F09" w:rsidRPr="0075339F">
        <w:t xml:space="preserve"> Ce</w:t>
      </w:r>
      <w:r w:rsidR="00DF6AD7">
        <w:t>s</w:t>
      </w:r>
      <w:r w:rsidR="00712F09" w:rsidRPr="0075339F">
        <w:t xml:space="preserve"> performance</w:t>
      </w:r>
      <w:r w:rsidR="00DF6AD7">
        <w:t>s</w:t>
      </w:r>
      <w:r w:rsidR="00712F09" w:rsidRPr="0075339F">
        <w:t xml:space="preserve"> </w:t>
      </w:r>
      <w:r w:rsidR="00DF6AD7">
        <w:t>sont</w:t>
      </w:r>
      <w:r w:rsidR="00712F09" w:rsidRPr="0075339F">
        <w:t xml:space="preserve"> à comparer avec</w:t>
      </w:r>
      <w:r w:rsidR="00126677" w:rsidRPr="0075339F">
        <w:t xml:space="preserve"> les</w:t>
      </w:r>
      <w:r w:rsidR="00DF6AD7">
        <w:t xml:space="preserve"> -0,40 </w:t>
      </w:r>
      <w:r w:rsidR="00126677" w:rsidRPr="0075339F">
        <w:t>%</w:t>
      </w:r>
      <w:r w:rsidR="00712F09" w:rsidRPr="0075339F">
        <w:t xml:space="preserve"> de l’</w:t>
      </w:r>
      <w:proofErr w:type="spellStart"/>
      <w:r w:rsidR="00443856" w:rsidRPr="0075339F">
        <w:t>Eonia</w:t>
      </w:r>
      <w:proofErr w:type="spellEnd"/>
      <w:r w:rsidR="00443856" w:rsidRPr="0075339F">
        <w:t xml:space="preserve"> capitalisé </w:t>
      </w:r>
      <w:r w:rsidR="00712F09" w:rsidRPr="0075339F">
        <w:t>sur la même période.</w:t>
      </w:r>
      <w:r w:rsidR="00712F09" w:rsidRPr="00AB28D8">
        <w:t xml:space="preserve"> </w:t>
      </w:r>
    </w:p>
    <w:p w14:paraId="2E57E76F" w14:textId="77777777" w:rsidR="00712F09" w:rsidRPr="00AB28D8" w:rsidRDefault="00712F09" w:rsidP="00BC401A">
      <w:pPr>
        <w:pStyle w:val="Paragraphedeliste"/>
        <w:ind w:left="1418"/>
        <w:jc w:val="both"/>
        <w:rPr>
          <w:highlight w:val="yellow"/>
        </w:rPr>
      </w:pPr>
    </w:p>
    <w:p w14:paraId="7D564BA9" w14:textId="2C5C9E73" w:rsidR="002C3E80" w:rsidRPr="0075339F" w:rsidRDefault="00712F09" w:rsidP="00BC401A">
      <w:pPr>
        <w:pStyle w:val="Paragraphedeliste"/>
        <w:ind w:left="1418"/>
        <w:jc w:val="both"/>
      </w:pPr>
      <w:r w:rsidRPr="0075339F">
        <w:t>La volatilité historique du fonds, calculée sur un pas hebdomadaire sur 52 semaines</w:t>
      </w:r>
      <w:r w:rsidR="008B4C67" w:rsidRPr="0075339F">
        <w:t xml:space="preserve">, </w:t>
      </w:r>
      <w:r w:rsidR="001169CC" w:rsidRPr="0075339F">
        <w:t xml:space="preserve">était de </w:t>
      </w:r>
      <w:r w:rsidR="00DF6AD7">
        <w:t xml:space="preserve">1,77 </w:t>
      </w:r>
      <w:r w:rsidR="008B4C67" w:rsidRPr="0075339F">
        <w:t>%</w:t>
      </w:r>
      <w:r w:rsidRPr="0075339F">
        <w:t xml:space="preserve"> </w:t>
      </w:r>
      <w:r w:rsidR="00BD3F0A" w:rsidRPr="0075339F">
        <w:t>en fin d’année</w:t>
      </w:r>
      <w:r w:rsidR="008B4C67" w:rsidRPr="0075339F">
        <w:t>.</w:t>
      </w:r>
      <w:r w:rsidR="00EF0DDA" w:rsidRPr="0075339F">
        <w:t xml:space="preserve"> </w:t>
      </w:r>
    </w:p>
    <w:p w14:paraId="72A19764" w14:textId="77777777" w:rsidR="00BD3F0A" w:rsidRPr="0075339F" w:rsidRDefault="00BD3F0A" w:rsidP="00BC401A">
      <w:pPr>
        <w:pStyle w:val="Paragraphedeliste"/>
        <w:ind w:left="1418"/>
        <w:jc w:val="both"/>
      </w:pPr>
    </w:p>
    <w:p w14:paraId="3C39C10D" w14:textId="5DCA6C25" w:rsidR="00E4064F" w:rsidRDefault="00712F09" w:rsidP="00BC401A">
      <w:pPr>
        <w:pStyle w:val="Paragraphedeliste"/>
        <w:ind w:left="1418"/>
        <w:jc w:val="both"/>
      </w:pPr>
      <w:r w:rsidRPr="0075339F">
        <w:t xml:space="preserve">L’actif net du fonds </w:t>
      </w:r>
      <w:r w:rsidR="00A02DE6">
        <w:t xml:space="preserve">a </w:t>
      </w:r>
      <w:r w:rsidR="00FA55DA">
        <w:t>diminué</w:t>
      </w:r>
      <w:r w:rsidR="00A02DE6">
        <w:t xml:space="preserve"> de </w:t>
      </w:r>
      <w:r w:rsidR="00DF6AD7">
        <w:t>34,6</w:t>
      </w:r>
      <w:r w:rsidR="00FA55DA">
        <w:t>M</w:t>
      </w:r>
      <w:r w:rsidR="00631A23" w:rsidRPr="0075339F">
        <w:t>€</w:t>
      </w:r>
      <w:r w:rsidR="00A02DE6">
        <w:t xml:space="preserve"> à 3</w:t>
      </w:r>
      <w:r w:rsidR="00FA55DA">
        <w:t>3,9</w:t>
      </w:r>
      <w:r w:rsidR="00A02DE6">
        <w:t>M€</w:t>
      </w:r>
      <w:r w:rsidR="00B54CCF" w:rsidRPr="0075339F">
        <w:t xml:space="preserve"> </w:t>
      </w:r>
      <w:r w:rsidR="00531328">
        <w:t xml:space="preserve">entre le </w:t>
      </w:r>
      <w:r w:rsidR="00FA55DA">
        <w:t>31/12/2018</w:t>
      </w:r>
      <w:r w:rsidR="00A22A36" w:rsidRPr="0075339F">
        <w:t xml:space="preserve"> </w:t>
      </w:r>
      <w:r w:rsidR="00531328">
        <w:t xml:space="preserve">et le </w:t>
      </w:r>
      <w:r w:rsidR="00A02DE6">
        <w:t>31</w:t>
      </w:r>
      <w:r w:rsidR="00E41781">
        <w:t>/12/201</w:t>
      </w:r>
      <w:r w:rsidR="00FA55DA">
        <w:t>9</w:t>
      </w:r>
      <w:r w:rsidRPr="0075339F">
        <w:t>.</w:t>
      </w:r>
    </w:p>
    <w:p w14:paraId="0EAFF4F4" w14:textId="77777777" w:rsidR="00E4064F" w:rsidRDefault="00E4064F" w:rsidP="00BC401A">
      <w:pPr>
        <w:pStyle w:val="Paragraphedeliste"/>
        <w:ind w:left="1418"/>
        <w:jc w:val="both"/>
      </w:pPr>
    </w:p>
    <w:p w14:paraId="0F54F755" w14:textId="3D59A653" w:rsidR="00E4064F" w:rsidRDefault="00E4064F" w:rsidP="00E4064F">
      <w:pPr>
        <w:pStyle w:val="Paragraphedeliste"/>
        <w:ind w:left="1418"/>
        <w:jc w:val="both"/>
      </w:pPr>
      <w:r>
        <w:t xml:space="preserve">Les </w:t>
      </w:r>
      <w:r w:rsidRPr="001A4F8F">
        <w:t>frais courants (réellement prélevés) sur l’année 201</w:t>
      </w:r>
      <w:r w:rsidR="00FA55DA">
        <w:t>9</w:t>
      </w:r>
      <w:r w:rsidRPr="001A4F8F">
        <w:t xml:space="preserve"> ont été de</w:t>
      </w:r>
      <w:r w:rsidR="003047FA">
        <w:t xml:space="preserve"> </w:t>
      </w:r>
      <w:r w:rsidR="00186D87" w:rsidRPr="007066EF">
        <w:t>1</w:t>
      </w:r>
      <w:r w:rsidRPr="007066EF">
        <w:t>,</w:t>
      </w:r>
      <w:r w:rsidR="00FA55DA">
        <w:t>66</w:t>
      </w:r>
      <w:r w:rsidRPr="007066EF">
        <w:t>%</w:t>
      </w:r>
      <w:r w:rsidR="00FA55DA">
        <w:t xml:space="preserve"> pour la part I, 0,91% pour la part A et 0,71% pour la part S</w:t>
      </w:r>
      <w:r w:rsidRPr="007066EF">
        <w:t>.</w:t>
      </w:r>
      <w:r>
        <w:t xml:space="preserve"> </w:t>
      </w:r>
    </w:p>
    <w:p w14:paraId="49A11E51" w14:textId="77777777" w:rsidR="00E6113D" w:rsidRDefault="00E6113D" w:rsidP="00E4064F">
      <w:pPr>
        <w:pStyle w:val="Paragraphedeliste"/>
        <w:ind w:left="1418"/>
        <w:jc w:val="both"/>
      </w:pPr>
    </w:p>
    <w:p w14:paraId="4514EA3C" w14:textId="0D185C02" w:rsidR="00E6113D" w:rsidRPr="00FA55DA" w:rsidRDefault="00FE6FD1" w:rsidP="00E4064F">
      <w:pPr>
        <w:pStyle w:val="Paragraphedeliste"/>
        <w:ind w:left="1418"/>
        <w:jc w:val="both"/>
      </w:pPr>
      <w:r w:rsidRPr="00FA55DA">
        <w:t xml:space="preserve">Carlton Select Invest </w:t>
      </w:r>
      <w:r w:rsidR="00FA55DA" w:rsidRPr="00FA55DA">
        <w:t>a prélevé de</w:t>
      </w:r>
      <w:r w:rsidR="00FA55DA">
        <w:t>s frais de surperformances au titre de frais de gestion variables acquis à hauteur de 0,05%</w:t>
      </w:r>
      <w:r w:rsidR="006538F9">
        <w:t xml:space="preserve"> pour la part I</w:t>
      </w:r>
      <w:r w:rsidR="00FA55DA">
        <w:t>.</w:t>
      </w:r>
    </w:p>
    <w:p w14:paraId="4E6ACD59" w14:textId="77777777" w:rsidR="00B923AA" w:rsidRPr="00FA55DA" w:rsidRDefault="00B923AA" w:rsidP="00E4064F">
      <w:pPr>
        <w:pStyle w:val="Paragraphedeliste"/>
        <w:ind w:left="1418"/>
        <w:jc w:val="both"/>
      </w:pPr>
    </w:p>
    <w:p w14:paraId="7254A918" w14:textId="77777777" w:rsidR="00217BD2" w:rsidRDefault="00217BD2" w:rsidP="00217BD2">
      <w:pPr>
        <w:pStyle w:val="Paragraphedeliste"/>
        <w:numPr>
          <w:ilvl w:val="1"/>
          <w:numId w:val="2"/>
        </w:numPr>
        <w:spacing w:line="240" w:lineRule="auto"/>
        <w:jc w:val="both"/>
        <w:rPr>
          <w:b/>
          <w:sz w:val="24"/>
          <w:szCs w:val="24"/>
        </w:rPr>
      </w:pPr>
      <w:r>
        <w:rPr>
          <w:b/>
          <w:sz w:val="24"/>
          <w:szCs w:val="24"/>
        </w:rPr>
        <w:t>Les mouvements au sein du</w:t>
      </w:r>
      <w:r w:rsidRPr="00712F09">
        <w:rPr>
          <w:b/>
          <w:sz w:val="24"/>
          <w:szCs w:val="24"/>
        </w:rPr>
        <w:t xml:space="preserve"> fonds</w:t>
      </w:r>
    </w:p>
    <w:p w14:paraId="34E7EEC9" w14:textId="6A35D790" w:rsidR="00A24870" w:rsidRDefault="00A24870" w:rsidP="001035C4">
      <w:pPr>
        <w:spacing w:line="240" w:lineRule="auto"/>
        <w:ind w:left="1644"/>
        <w:jc w:val="both"/>
      </w:pPr>
      <w:r w:rsidRPr="00992534">
        <w:t>Mouvements sur les OPC</w:t>
      </w:r>
      <w:r w:rsidR="002A77F4" w:rsidRPr="00992534">
        <w:t xml:space="preserve"> (hors monétaire)</w:t>
      </w:r>
      <w:r w:rsidRPr="00992534">
        <w:t xml:space="preserve"> : </w:t>
      </w:r>
    </w:p>
    <w:tbl>
      <w:tblPr>
        <w:tblW w:w="5823" w:type="dxa"/>
        <w:tblInd w:w="1838" w:type="dxa"/>
        <w:tblCellMar>
          <w:left w:w="70" w:type="dxa"/>
          <w:right w:w="70" w:type="dxa"/>
        </w:tblCellMar>
        <w:tblLook w:val="04A0" w:firstRow="1" w:lastRow="0" w:firstColumn="1" w:lastColumn="0" w:noHBand="0" w:noVBand="1"/>
      </w:tblPr>
      <w:tblGrid>
        <w:gridCol w:w="1076"/>
        <w:gridCol w:w="2720"/>
        <w:gridCol w:w="561"/>
        <w:gridCol w:w="1466"/>
      </w:tblGrid>
      <w:tr w:rsidR="00AD5FDE" w:rsidRPr="00AD5FDE" w14:paraId="15DD54C0" w14:textId="77777777" w:rsidTr="00AD5FDE">
        <w:trPr>
          <w:trHeight w:val="288"/>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F5C8" w14:textId="77777777" w:rsidR="00AD5FDE" w:rsidRPr="00AD5FDE" w:rsidRDefault="00AD5FDE" w:rsidP="00AD5FDE">
            <w:pPr>
              <w:spacing w:after="0" w:line="240" w:lineRule="auto"/>
              <w:ind w:left="47" w:firstLine="20"/>
              <w:jc w:val="center"/>
              <w:rPr>
                <w:rFonts w:ascii="Calibri" w:eastAsia="Times New Roman" w:hAnsi="Calibri" w:cs="Calibri"/>
                <w:b/>
                <w:bCs/>
                <w:color w:val="000000"/>
                <w:lang w:eastAsia="fr-FR"/>
              </w:rPr>
            </w:pPr>
            <w:r w:rsidRPr="00AD5FDE">
              <w:rPr>
                <w:rFonts w:ascii="Calibri" w:eastAsia="Times New Roman" w:hAnsi="Calibri" w:cs="Calibri"/>
                <w:b/>
                <w:bCs/>
                <w:color w:val="000000"/>
                <w:lang w:eastAsia="fr-FR"/>
              </w:rPr>
              <w:t>Date</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72FDBBD1" w14:textId="77777777" w:rsidR="00AD5FDE" w:rsidRPr="00AD5FDE" w:rsidRDefault="00AD5FDE" w:rsidP="00AD5FDE">
            <w:pPr>
              <w:spacing w:after="0" w:line="240" w:lineRule="auto"/>
              <w:jc w:val="center"/>
              <w:rPr>
                <w:rFonts w:ascii="Calibri" w:eastAsia="Times New Roman" w:hAnsi="Calibri" w:cs="Calibri"/>
                <w:b/>
                <w:bCs/>
                <w:color w:val="000000"/>
                <w:lang w:eastAsia="fr-FR"/>
              </w:rPr>
            </w:pPr>
            <w:r w:rsidRPr="00AD5FDE">
              <w:rPr>
                <w:rFonts w:ascii="Calibri" w:eastAsia="Times New Roman" w:hAnsi="Calibri" w:cs="Calibri"/>
                <w:b/>
                <w:bCs/>
                <w:color w:val="000000"/>
                <w:lang w:eastAsia="fr-FR"/>
              </w:rPr>
              <w:t>Fonds</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0B1B29AE" w14:textId="77777777" w:rsidR="00AD5FDE" w:rsidRPr="00AD5FDE" w:rsidRDefault="00AD5FDE" w:rsidP="00AD5FDE">
            <w:pPr>
              <w:spacing w:after="0" w:line="240" w:lineRule="auto"/>
              <w:jc w:val="center"/>
              <w:rPr>
                <w:rFonts w:ascii="Calibri" w:eastAsia="Times New Roman" w:hAnsi="Calibri" w:cs="Calibri"/>
                <w:b/>
                <w:bCs/>
                <w:color w:val="000000"/>
                <w:lang w:eastAsia="fr-FR"/>
              </w:rPr>
            </w:pPr>
            <w:r w:rsidRPr="00AD5FDE">
              <w:rPr>
                <w:rFonts w:ascii="Calibri" w:eastAsia="Times New Roman" w:hAnsi="Calibri" w:cs="Calibri"/>
                <w:b/>
                <w:bCs/>
                <w:color w:val="000000"/>
                <w:lang w:eastAsia="fr-FR"/>
              </w:rPr>
              <w:t>Sens</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2C1AA94A" w14:textId="77777777" w:rsidR="00AD5FDE" w:rsidRPr="00AD5FDE" w:rsidRDefault="00AD5FDE" w:rsidP="00AD5FDE">
            <w:pPr>
              <w:spacing w:after="0" w:line="240" w:lineRule="auto"/>
              <w:jc w:val="center"/>
              <w:rPr>
                <w:rFonts w:ascii="Calibri" w:eastAsia="Times New Roman" w:hAnsi="Calibri" w:cs="Calibri"/>
                <w:b/>
                <w:bCs/>
                <w:color w:val="000000"/>
                <w:lang w:eastAsia="fr-FR"/>
              </w:rPr>
            </w:pPr>
            <w:r w:rsidRPr="00AD5FDE">
              <w:rPr>
                <w:rFonts w:ascii="Calibri" w:eastAsia="Times New Roman" w:hAnsi="Calibri" w:cs="Calibri"/>
                <w:b/>
                <w:bCs/>
                <w:color w:val="000000"/>
                <w:lang w:eastAsia="fr-FR"/>
              </w:rPr>
              <w:t xml:space="preserve"> Montant  </w:t>
            </w:r>
          </w:p>
        </w:tc>
      </w:tr>
      <w:tr w:rsidR="00AD5FDE" w:rsidRPr="00AD5FDE" w14:paraId="35C4C77E"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7090D8F"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09/01/2019</w:t>
            </w:r>
          </w:p>
        </w:tc>
        <w:tc>
          <w:tcPr>
            <w:tcW w:w="2720" w:type="dxa"/>
            <w:tcBorders>
              <w:top w:val="nil"/>
              <w:left w:val="nil"/>
              <w:bottom w:val="single" w:sz="4" w:space="0" w:color="auto"/>
              <w:right w:val="single" w:sz="4" w:space="0" w:color="auto"/>
            </w:tcBorders>
            <w:shd w:val="clear" w:color="auto" w:fill="auto"/>
            <w:noWrap/>
            <w:vAlign w:val="bottom"/>
            <w:hideMark/>
          </w:tcPr>
          <w:p w14:paraId="615A0F8C"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Deutsche Euro HY </w:t>
            </w:r>
            <w:proofErr w:type="spellStart"/>
            <w:r w:rsidRPr="00AD5FDE">
              <w:rPr>
                <w:rFonts w:ascii="Calibri" w:eastAsia="Times New Roman" w:hAnsi="Calibri" w:cs="Calibri"/>
                <w:sz w:val="18"/>
                <w:szCs w:val="18"/>
                <w:lang w:eastAsia="fr-FR"/>
              </w:rPr>
              <w:t>Corporate</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57135D94"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1CF9C9F0"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407 823,92 € </w:t>
            </w:r>
          </w:p>
        </w:tc>
      </w:tr>
      <w:tr w:rsidR="00AD5FDE" w:rsidRPr="00AD5FDE" w14:paraId="140689A3"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925F54E"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18/02/2019</w:t>
            </w:r>
          </w:p>
        </w:tc>
        <w:tc>
          <w:tcPr>
            <w:tcW w:w="2720" w:type="dxa"/>
            <w:tcBorders>
              <w:top w:val="nil"/>
              <w:left w:val="nil"/>
              <w:bottom w:val="single" w:sz="4" w:space="0" w:color="auto"/>
              <w:right w:val="single" w:sz="4" w:space="0" w:color="auto"/>
            </w:tcBorders>
            <w:shd w:val="clear" w:color="auto" w:fill="auto"/>
            <w:noWrap/>
            <w:vAlign w:val="bottom"/>
            <w:hideMark/>
          </w:tcPr>
          <w:p w14:paraId="20408495"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AUM </w:t>
            </w:r>
            <w:proofErr w:type="spellStart"/>
            <w:r w:rsidRPr="00AD5FDE">
              <w:rPr>
                <w:rFonts w:ascii="Calibri" w:eastAsia="Times New Roman" w:hAnsi="Calibri" w:cs="Calibri"/>
                <w:sz w:val="18"/>
                <w:szCs w:val="18"/>
                <w:lang w:eastAsia="fr-FR"/>
              </w:rPr>
              <w:t>Equity</w:t>
            </w:r>
            <w:proofErr w:type="spellEnd"/>
            <w:r w:rsidRPr="00AD5FDE">
              <w:rPr>
                <w:rFonts w:ascii="Calibri" w:eastAsia="Times New Roman" w:hAnsi="Calibri" w:cs="Calibri"/>
                <w:sz w:val="18"/>
                <w:szCs w:val="18"/>
                <w:lang w:eastAsia="fr-FR"/>
              </w:rPr>
              <w:t xml:space="preserve"> Europe</w:t>
            </w:r>
          </w:p>
        </w:tc>
        <w:tc>
          <w:tcPr>
            <w:tcW w:w="561" w:type="dxa"/>
            <w:tcBorders>
              <w:top w:val="nil"/>
              <w:left w:val="nil"/>
              <w:bottom w:val="single" w:sz="4" w:space="0" w:color="auto"/>
              <w:right w:val="single" w:sz="4" w:space="0" w:color="auto"/>
            </w:tcBorders>
            <w:shd w:val="clear" w:color="auto" w:fill="auto"/>
            <w:noWrap/>
            <w:vAlign w:val="bottom"/>
            <w:hideMark/>
          </w:tcPr>
          <w:p w14:paraId="662B1A66"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1EA0A5D4"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228 140,26 € </w:t>
            </w:r>
          </w:p>
        </w:tc>
      </w:tr>
      <w:tr w:rsidR="00AD5FDE" w:rsidRPr="00AD5FDE" w14:paraId="21C64585"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9DB00F7"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14/03/2019</w:t>
            </w:r>
          </w:p>
        </w:tc>
        <w:tc>
          <w:tcPr>
            <w:tcW w:w="2720" w:type="dxa"/>
            <w:tcBorders>
              <w:top w:val="nil"/>
              <w:left w:val="nil"/>
              <w:bottom w:val="single" w:sz="4" w:space="0" w:color="auto"/>
              <w:right w:val="single" w:sz="4" w:space="0" w:color="auto"/>
            </w:tcBorders>
            <w:shd w:val="clear" w:color="auto" w:fill="auto"/>
            <w:noWrap/>
            <w:vAlign w:val="bottom"/>
            <w:hideMark/>
          </w:tcPr>
          <w:p w14:paraId="41C0D9E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Silvertime</w:t>
            </w:r>
            <w:proofErr w:type="spellEnd"/>
            <w:r w:rsidRPr="00AD5FDE">
              <w:rPr>
                <w:rFonts w:ascii="Calibri" w:eastAsia="Times New Roman" w:hAnsi="Calibri" w:cs="Calibri"/>
                <w:color w:val="000000"/>
                <w:sz w:val="18"/>
                <w:szCs w:val="18"/>
                <w:lang w:eastAsia="fr-FR"/>
              </w:rPr>
              <w:t xml:space="preserve"> Gravity Plus</w:t>
            </w:r>
          </w:p>
        </w:tc>
        <w:tc>
          <w:tcPr>
            <w:tcW w:w="561" w:type="dxa"/>
            <w:tcBorders>
              <w:top w:val="nil"/>
              <w:left w:val="nil"/>
              <w:bottom w:val="single" w:sz="4" w:space="0" w:color="auto"/>
              <w:right w:val="single" w:sz="4" w:space="0" w:color="auto"/>
            </w:tcBorders>
            <w:shd w:val="clear" w:color="auto" w:fill="auto"/>
            <w:noWrap/>
            <w:vAlign w:val="bottom"/>
            <w:hideMark/>
          </w:tcPr>
          <w:p w14:paraId="1E74220D"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684B09DD"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875 358,21 € </w:t>
            </w:r>
          </w:p>
        </w:tc>
      </w:tr>
      <w:tr w:rsidR="00AD5FDE" w:rsidRPr="00AD5FDE" w14:paraId="0F435127"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E65B7D0"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lastRenderedPageBreak/>
              <w:t>15/03/2019</w:t>
            </w:r>
          </w:p>
        </w:tc>
        <w:tc>
          <w:tcPr>
            <w:tcW w:w="2720" w:type="dxa"/>
            <w:tcBorders>
              <w:top w:val="nil"/>
              <w:left w:val="nil"/>
              <w:bottom w:val="single" w:sz="4" w:space="0" w:color="auto"/>
              <w:right w:val="single" w:sz="4" w:space="0" w:color="auto"/>
            </w:tcBorders>
            <w:shd w:val="clear" w:color="auto" w:fill="auto"/>
            <w:noWrap/>
            <w:vAlign w:val="bottom"/>
            <w:hideMark/>
          </w:tcPr>
          <w:p w14:paraId="2F497EC1"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UniGestion</w:t>
            </w:r>
            <w:proofErr w:type="spellEnd"/>
            <w:r w:rsidRPr="00AD5FDE">
              <w:rPr>
                <w:rFonts w:ascii="Calibri" w:eastAsia="Times New Roman" w:hAnsi="Calibri" w:cs="Calibri"/>
                <w:color w:val="000000"/>
                <w:sz w:val="18"/>
                <w:szCs w:val="18"/>
                <w:lang w:eastAsia="fr-FR"/>
              </w:rPr>
              <w:t xml:space="preserve"> Alternative Risk </w:t>
            </w:r>
            <w:proofErr w:type="spellStart"/>
            <w:r w:rsidRPr="00AD5FDE">
              <w:rPr>
                <w:rFonts w:ascii="Calibri" w:eastAsia="Times New Roman" w:hAnsi="Calibri" w:cs="Calibri"/>
                <w:color w:val="000000"/>
                <w:sz w:val="18"/>
                <w:szCs w:val="18"/>
                <w:lang w:eastAsia="fr-FR"/>
              </w:rPr>
              <w:t>Premia</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319083F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10224F27"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748 404,48 € </w:t>
            </w:r>
          </w:p>
        </w:tc>
      </w:tr>
      <w:tr w:rsidR="00AD5FDE" w:rsidRPr="00AD5FDE" w14:paraId="346EADA7"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48D11AC"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18/03/2019</w:t>
            </w:r>
          </w:p>
        </w:tc>
        <w:tc>
          <w:tcPr>
            <w:tcW w:w="2720" w:type="dxa"/>
            <w:tcBorders>
              <w:top w:val="nil"/>
              <w:left w:val="nil"/>
              <w:bottom w:val="single" w:sz="4" w:space="0" w:color="auto"/>
              <w:right w:val="single" w:sz="4" w:space="0" w:color="auto"/>
            </w:tcBorders>
            <w:shd w:val="clear" w:color="auto" w:fill="auto"/>
            <w:noWrap/>
            <w:vAlign w:val="bottom"/>
            <w:hideMark/>
          </w:tcPr>
          <w:p w14:paraId="52EBB86B"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LFDE Echiquier Value</w:t>
            </w:r>
          </w:p>
        </w:tc>
        <w:tc>
          <w:tcPr>
            <w:tcW w:w="561" w:type="dxa"/>
            <w:tcBorders>
              <w:top w:val="nil"/>
              <w:left w:val="nil"/>
              <w:bottom w:val="single" w:sz="4" w:space="0" w:color="auto"/>
              <w:right w:val="single" w:sz="4" w:space="0" w:color="auto"/>
            </w:tcBorders>
            <w:shd w:val="clear" w:color="auto" w:fill="auto"/>
            <w:noWrap/>
            <w:vAlign w:val="bottom"/>
            <w:hideMark/>
          </w:tcPr>
          <w:p w14:paraId="380EBEE8"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28BEA28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227 192,31 € </w:t>
            </w:r>
          </w:p>
        </w:tc>
      </w:tr>
      <w:tr w:rsidR="00AD5FDE" w:rsidRPr="00AD5FDE" w14:paraId="6B317C07"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5089C83"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28/03/2019</w:t>
            </w:r>
          </w:p>
        </w:tc>
        <w:tc>
          <w:tcPr>
            <w:tcW w:w="2720" w:type="dxa"/>
            <w:tcBorders>
              <w:top w:val="nil"/>
              <w:left w:val="nil"/>
              <w:bottom w:val="single" w:sz="4" w:space="0" w:color="auto"/>
              <w:right w:val="single" w:sz="4" w:space="0" w:color="auto"/>
            </w:tcBorders>
            <w:shd w:val="clear" w:color="auto" w:fill="auto"/>
            <w:noWrap/>
            <w:vAlign w:val="bottom"/>
            <w:hideMark/>
          </w:tcPr>
          <w:p w14:paraId="066913F4"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Moneta</w:t>
            </w:r>
            <w:proofErr w:type="spellEnd"/>
            <w:r w:rsidRPr="00AD5FDE">
              <w:rPr>
                <w:rFonts w:ascii="Calibri" w:eastAsia="Times New Roman" w:hAnsi="Calibri" w:cs="Calibri"/>
                <w:color w:val="000000"/>
                <w:sz w:val="18"/>
                <w:szCs w:val="18"/>
                <w:lang w:eastAsia="fr-FR"/>
              </w:rPr>
              <w:t xml:space="preserve"> L/S</w:t>
            </w:r>
          </w:p>
        </w:tc>
        <w:tc>
          <w:tcPr>
            <w:tcW w:w="561" w:type="dxa"/>
            <w:tcBorders>
              <w:top w:val="nil"/>
              <w:left w:val="nil"/>
              <w:bottom w:val="single" w:sz="4" w:space="0" w:color="auto"/>
              <w:right w:val="single" w:sz="4" w:space="0" w:color="auto"/>
            </w:tcBorders>
            <w:shd w:val="clear" w:color="auto" w:fill="auto"/>
            <w:noWrap/>
            <w:vAlign w:val="bottom"/>
            <w:hideMark/>
          </w:tcPr>
          <w:p w14:paraId="082F1A43"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120F2CA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986 343,36 € </w:t>
            </w:r>
          </w:p>
        </w:tc>
      </w:tr>
      <w:tr w:rsidR="00AD5FDE" w:rsidRPr="00AD5FDE" w14:paraId="7BA24D5E"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4700590"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29/03/2019</w:t>
            </w:r>
          </w:p>
        </w:tc>
        <w:tc>
          <w:tcPr>
            <w:tcW w:w="2720" w:type="dxa"/>
            <w:tcBorders>
              <w:top w:val="nil"/>
              <w:left w:val="nil"/>
              <w:bottom w:val="single" w:sz="4" w:space="0" w:color="auto"/>
              <w:right w:val="single" w:sz="4" w:space="0" w:color="auto"/>
            </w:tcBorders>
            <w:shd w:val="clear" w:color="auto" w:fill="auto"/>
            <w:noWrap/>
            <w:vAlign w:val="bottom"/>
            <w:hideMark/>
          </w:tcPr>
          <w:p w14:paraId="38924A3E"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Quantology</w:t>
            </w:r>
            <w:proofErr w:type="spellEnd"/>
            <w:r w:rsidRPr="00AD5FDE">
              <w:rPr>
                <w:rFonts w:ascii="Calibri" w:eastAsia="Times New Roman" w:hAnsi="Calibri" w:cs="Calibri"/>
                <w:color w:val="000000"/>
                <w:sz w:val="18"/>
                <w:szCs w:val="18"/>
                <w:lang w:eastAsia="fr-FR"/>
              </w:rPr>
              <w:t xml:space="preserve">  Smart I</w:t>
            </w:r>
          </w:p>
        </w:tc>
        <w:tc>
          <w:tcPr>
            <w:tcW w:w="561" w:type="dxa"/>
            <w:tcBorders>
              <w:top w:val="nil"/>
              <w:left w:val="nil"/>
              <w:bottom w:val="single" w:sz="4" w:space="0" w:color="auto"/>
              <w:right w:val="single" w:sz="4" w:space="0" w:color="auto"/>
            </w:tcBorders>
            <w:shd w:val="clear" w:color="auto" w:fill="auto"/>
            <w:noWrap/>
            <w:vAlign w:val="bottom"/>
            <w:hideMark/>
          </w:tcPr>
          <w:p w14:paraId="5F36F9B3"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B162550"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211 035,78 € </w:t>
            </w:r>
          </w:p>
        </w:tc>
      </w:tr>
      <w:tr w:rsidR="00AD5FDE" w:rsidRPr="00AD5FDE" w14:paraId="2DDD8E3C"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C7F1127"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18/04/2019</w:t>
            </w:r>
          </w:p>
        </w:tc>
        <w:tc>
          <w:tcPr>
            <w:tcW w:w="2720" w:type="dxa"/>
            <w:tcBorders>
              <w:top w:val="nil"/>
              <w:left w:val="nil"/>
              <w:bottom w:val="single" w:sz="4" w:space="0" w:color="auto"/>
              <w:right w:val="single" w:sz="4" w:space="0" w:color="auto"/>
            </w:tcBorders>
            <w:shd w:val="clear" w:color="auto" w:fill="auto"/>
            <w:noWrap/>
            <w:vAlign w:val="bottom"/>
            <w:hideMark/>
          </w:tcPr>
          <w:p w14:paraId="51C1BE5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Quantology</w:t>
            </w:r>
            <w:proofErr w:type="spellEnd"/>
            <w:r w:rsidRPr="00AD5FDE">
              <w:rPr>
                <w:rFonts w:ascii="Calibri" w:eastAsia="Times New Roman" w:hAnsi="Calibri" w:cs="Calibri"/>
                <w:color w:val="000000"/>
                <w:sz w:val="18"/>
                <w:szCs w:val="18"/>
                <w:lang w:eastAsia="fr-FR"/>
              </w:rPr>
              <w:t xml:space="preserve">  Smart I</w:t>
            </w:r>
          </w:p>
        </w:tc>
        <w:tc>
          <w:tcPr>
            <w:tcW w:w="561" w:type="dxa"/>
            <w:tcBorders>
              <w:top w:val="nil"/>
              <w:left w:val="nil"/>
              <w:bottom w:val="single" w:sz="4" w:space="0" w:color="auto"/>
              <w:right w:val="single" w:sz="4" w:space="0" w:color="auto"/>
            </w:tcBorders>
            <w:shd w:val="clear" w:color="auto" w:fill="auto"/>
            <w:noWrap/>
            <w:vAlign w:val="bottom"/>
            <w:hideMark/>
          </w:tcPr>
          <w:p w14:paraId="10AFD9CA"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4542C71D"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105 394,69 € </w:t>
            </w:r>
          </w:p>
        </w:tc>
      </w:tr>
      <w:tr w:rsidR="00AD5FDE" w:rsidRPr="00AD5FDE" w14:paraId="349C54D5"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7A66073"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18/04/2019</w:t>
            </w:r>
          </w:p>
        </w:tc>
        <w:tc>
          <w:tcPr>
            <w:tcW w:w="2720" w:type="dxa"/>
            <w:tcBorders>
              <w:top w:val="nil"/>
              <w:left w:val="nil"/>
              <w:bottom w:val="single" w:sz="4" w:space="0" w:color="auto"/>
              <w:right w:val="single" w:sz="4" w:space="0" w:color="auto"/>
            </w:tcBorders>
            <w:shd w:val="clear" w:color="auto" w:fill="auto"/>
            <w:noWrap/>
            <w:vAlign w:val="bottom"/>
            <w:hideMark/>
          </w:tcPr>
          <w:p w14:paraId="34CEEEA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Henderson Global HY</w:t>
            </w:r>
          </w:p>
        </w:tc>
        <w:tc>
          <w:tcPr>
            <w:tcW w:w="561" w:type="dxa"/>
            <w:tcBorders>
              <w:top w:val="nil"/>
              <w:left w:val="nil"/>
              <w:bottom w:val="single" w:sz="4" w:space="0" w:color="auto"/>
              <w:right w:val="single" w:sz="4" w:space="0" w:color="auto"/>
            </w:tcBorders>
            <w:shd w:val="clear" w:color="auto" w:fill="auto"/>
            <w:noWrap/>
            <w:vAlign w:val="bottom"/>
            <w:hideMark/>
          </w:tcPr>
          <w:p w14:paraId="01A62C1A"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EF69418"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132 840,00 € </w:t>
            </w:r>
          </w:p>
        </w:tc>
      </w:tr>
      <w:tr w:rsidR="00AD5FDE" w:rsidRPr="00AD5FDE" w14:paraId="424CA855"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C6F34D6"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23/04/2019</w:t>
            </w:r>
          </w:p>
        </w:tc>
        <w:tc>
          <w:tcPr>
            <w:tcW w:w="2720" w:type="dxa"/>
            <w:tcBorders>
              <w:top w:val="nil"/>
              <w:left w:val="nil"/>
              <w:bottom w:val="single" w:sz="4" w:space="0" w:color="auto"/>
              <w:right w:val="single" w:sz="4" w:space="0" w:color="auto"/>
            </w:tcBorders>
            <w:shd w:val="clear" w:color="auto" w:fill="auto"/>
            <w:noWrap/>
            <w:vAlign w:val="bottom"/>
            <w:hideMark/>
          </w:tcPr>
          <w:p w14:paraId="014ADE32"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LBPAM </w:t>
            </w:r>
            <w:proofErr w:type="spellStart"/>
            <w:r w:rsidRPr="00AD5FDE">
              <w:rPr>
                <w:rFonts w:ascii="Calibri" w:eastAsia="Times New Roman" w:hAnsi="Calibri" w:cs="Calibri"/>
                <w:color w:val="000000"/>
                <w:sz w:val="18"/>
                <w:szCs w:val="18"/>
                <w:lang w:eastAsia="fr-FR"/>
              </w:rPr>
              <w:t>Oblig</w:t>
            </w:r>
            <w:proofErr w:type="spellEnd"/>
            <w:r w:rsidRPr="00AD5FDE">
              <w:rPr>
                <w:rFonts w:ascii="Calibri" w:eastAsia="Times New Roman" w:hAnsi="Calibri" w:cs="Calibri"/>
                <w:color w:val="000000"/>
                <w:sz w:val="18"/>
                <w:szCs w:val="18"/>
                <w:lang w:eastAsia="fr-FR"/>
              </w:rPr>
              <w:t xml:space="preserve"> Cross Over</w:t>
            </w:r>
          </w:p>
        </w:tc>
        <w:tc>
          <w:tcPr>
            <w:tcW w:w="561" w:type="dxa"/>
            <w:tcBorders>
              <w:top w:val="nil"/>
              <w:left w:val="nil"/>
              <w:bottom w:val="single" w:sz="4" w:space="0" w:color="auto"/>
              <w:right w:val="single" w:sz="4" w:space="0" w:color="auto"/>
            </w:tcBorders>
            <w:shd w:val="clear" w:color="auto" w:fill="auto"/>
            <w:noWrap/>
            <w:vAlign w:val="bottom"/>
            <w:hideMark/>
          </w:tcPr>
          <w:p w14:paraId="303ADFBC"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DA5F248"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360 404,10 € </w:t>
            </w:r>
          </w:p>
        </w:tc>
      </w:tr>
      <w:tr w:rsidR="00AD5FDE" w:rsidRPr="00AD5FDE" w14:paraId="248DF774"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1E2A3E4"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24/04/2019</w:t>
            </w:r>
          </w:p>
        </w:tc>
        <w:tc>
          <w:tcPr>
            <w:tcW w:w="2720" w:type="dxa"/>
            <w:tcBorders>
              <w:top w:val="nil"/>
              <w:left w:val="nil"/>
              <w:bottom w:val="single" w:sz="4" w:space="0" w:color="auto"/>
              <w:right w:val="single" w:sz="4" w:space="0" w:color="auto"/>
            </w:tcBorders>
            <w:shd w:val="clear" w:color="auto" w:fill="auto"/>
            <w:noWrap/>
            <w:vAlign w:val="bottom"/>
            <w:hideMark/>
          </w:tcPr>
          <w:p w14:paraId="3EB62198"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Butler </w:t>
            </w:r>
            <w:proofErr w:type="spellStart"/>
            <w:r w:rsidRPr="00AD5FDE">
              <w:rPr>
                <w:rFonts w:ascii="Calibri" w:eastAsia="Times New Roman" w:hAnsi="Calibri" w:cs="Calibri"/>
                <w:color w:val="000000"/>
                <w:sz w:val="18"/>
                <w:szCs w:val="18"/>
                <w:lang w:eastAsia="fr-FR"/>
              </w:rPr>
              <w:t>Credit</w:t>
            </w:r>
            <w:proofErr w:type="spellEnd"/>
            <w:r w:rsidRPr="00AD5FDE">
              <w:rPr>
                <w:rFonts w:ascii="Calibri" w:eastAsia="Times New Roman" w:hAnsi="Calibri" w:cs="Calibri"/>
                <w:color w:val="000000"/>
                <w:sz w:val="18"/>
                <w:szCs w:val="18"/>
                <w:lang w:eastAsia="fr-FR"/>
              </w:rPr>
              <w:t xml:space="preserve"> </w:t>
            </w:r>
            <w:proofErr w:type="spellStart"/>
            <w:r w:rsidRPr="00AD5FDE">
              <w:rPr>
                <w:rFonts w:ascii="Calibri" w:eastAsia="Times New Roman" w:hAnsi="Calibri" w:cs="Calibri"/>
                <w:color w:val="000000"/>
                <w:sz w:val="18"/>
                <w:szCs w:val="18"/>
                <w:lang w:eastAsia="fr-FR"/>
              </w:rPr>
              <w:t>Opportunities</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6C338DCC"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10D3B330"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265 226,75 € </w:t>
            </w:r>
          </w:p>
        </w:tc>
      </w:tr>
      <w:tr w:rsidR="00AD5FDE" w:rsidRPr="00AD5FDE" w14:paraId="2CD5DE1F"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55AEDC3"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20/05/2019</w:t>
            </w:r>
          </w:p>
        </w:tc>
        <w:tc>
          <w:tcPr>
            <w:tcW w:w="2720" w:type="dxa"/>
            <w:tcBorders>
              <w:top w:val="nil"/>
              <w:left w:val="nil"/>
              <w:bottom w:val="single" w:sz="4" w:space="0" w:color="auto"/>
              <w:right w:val="single" w:sz="4" w:space="0" w:color="auto"/>
            </w:tcBorders>
            <w:shd w:val="clear" w:color="auto" w:fill="auto"/>
            <w:noWrap/>
            <w:vAlign w:val="bottom"/>
            <w:hideMark/>
          </w:tcPr>
          <w:p w14:paraId="3C603CC3"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Gemway</w:t>
            </w:r>
            <w:proofErr w:type="spellEnd"/>
            <w:r w:rsidRPr="00AD5FDE">
              <w:rPr>
                <w:rFonts w:ascii="Calibri" w:eastAsia="Times New Roman" w:hAnsi="Calibri" w:cs="Calibri"/>
                <w:color w:val="000000"/>
                <w:sz w:val="18"/>
                <w:szCs w:val="18"/>
                <w:lang w:eastAsia="fr-FR"/>
              </w:rPr>
              <w:t xml:space="preserve"> </w:t>
            </w:r>
            <w:proofErr w:type="spellStart"/>
            <w:r w:rsidRPr="00AD5FDE">
              <w:rPr>
                <w:rFonts w:ascii="Calibri" w:eastAsia="Times New Roman" w:hAnsi="Calibri" w:cs="Calibri"/>
                <w:color w:val="000000"/>
                <w:sz w:val="18"/>
                <w:szCs w:val="18"/>
                <w:lang w:eastAsia="fr-FR"/>
              </w:rPr>
              <w:t>GemEquity</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5307E678"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71217D6E"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428 074,02 € </w:t>
            </w:r>
          </w:p>
        </w:tc>
      </w:tr>
      <w:tr w:rsidR="00AD5FDE" w:rsidRPr="00AD5FDE" w14:paraId="514C3B0D"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3B71A2A"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23/05/2019</w:t>
            </w:r>
          </w:p>
        </w:tc>
        <w:tc>
          <w:tcPr>
            <w:tcW w:w="2720" w:type="dxa"/>
            <w:tcBorders>
              <w:top w:val="nil"/>
              <w:left w:val="nil"/>
              <w:bottom w:val="single" w:sz="4" w:space="0" w:color="auto"/>
              <w:right w:val="single" w:sz="4" w:space="0" w:color="auto"/>
            </w:tcBorders>
            <w:shd w:val="clear" w:color="auto" w:fill="auto"/>
            <w:noWrap/>
            <w:vAlign w:val="bottom"/>
            <w:hideMark/>
          </w:tcPr>
          <w:p w14:paraId="42737B00"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IVO </w:t>
            </w:r>
            <w:proofErr w:type="spellStart"/>
            <w:r w:rsidRPr="00AD5FDE">
              <w:rPr>
                <w:rFonts w:ascii="Calibri" w:eastAsia="Times New Roman" w:hAnsi="Calibri" w:cs="Calibri"/>
                <w:color w:val="000000"/>
                <w:sz w:val="18"/>
                <w:szCs w:val="18"/>
                <w:lang w:eastAsia="fr-FR"/>
              </w:rPr>
              <w:t>Fixed</w:t>
            </w:r>
            <w:proofErr w:type="spellEnd"/>
            <w:r w:rsidRPr="00AD5FDE">
              <w:rPr>
                <w:rFonts w:ascii="Calibri" w:eastAsia="Times New Roman" w:hAnsi="Calibri" w:cs="Calibri"/>
                <w:color w:val="000000"/>
                <w:sz w:val="18"/>
                <w:szCs w:val="18"/>
                <w:lang w:eastAsia="fr-FR"/>
              </w:rPr>
              <w:t xml:space="preserve"> </w:t>
            </w:r>
            <w:proofErr w:type="spellStart"/>
            <w:r w:rsidRPr="00AD5FDE">
              <w:rPr>
                <w:rFonts w:ascii="Calibri" w:eastAsia="Times New Roman" w:hAnsi="Calibri" w:cs="Calibri"/>
                <w:color w:val="000000"/>
                <w:sz w:val="18"/>
                <w:szCs w:val="18"/>
                <w:lang w:eastAsia="fr-FR"/>
              </w:rPr>
              <w:t>Income</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63427C4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08A58782"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264 084,50 € </w:t>
            </w:r>
          </w:p>
        </w:tc>
      </w:tr>
      <w:tr w:rsidR="00AD5FDE" w:rsidRPr="00AD5FDE" w14:paraId="0D1CAEDB"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4823DBB"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04/06/2019</w:t>
            </w:r>
          </w:p>
        </w:tc>
        <w:tc>
          <w:tcPr>
            <w:tcW w:w="2720" w:type="dxa"/>
            <w:tcBorders>
              <w:top w:val="nil"/>
              <w:left w:val="nil"/>
              <w:bottom w:val="single" w:sz="4" w:space="0" w:color="auto"/>
              <w:right w:val="single" w:sz="4" w:space="0" w:color="auto"/>
            </w:tcBorders>
            <w:shd w:val="clear" w:color="auto" w:fill="auto"/>
            <w:noWrap/>
            <w:vAlign w:val="bottom"/>
            <w:hideMark/>
          </w:tcPr>
          <w:p w14:paraId="4387313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Helium</w:t>
            </w:r>
            <w:proofErr w:type="spellEnd"/>
            <w:r w:rsidRPr="00AD5FDE">
              <w:rPr>
                <w:rFonts w:ascii="Calibri" w:eastAsia="Times New Roman" w:hAnsi="Calibri" w:cs="Calibri"/>
                <w:color w:val="000000"/>
                <w:sz w:val="18"/>
                <w:szCs w:val="18"/>
                <w:lang w:eastAsia="fr-FR"/>
              </w:rPr>
              <w:t xml:space="preserve"> Performance</w:t>
            </w:r>
          </w:p>
        </w:tc>
        <w:tc>
          <w:tcPr>
            <w:tcW w:w="561" w:type="dxa"/>
            <w:tcBorders>
              <w:top w:val="nil"/>
              <w:left w:val="nil"/>
              <w:bottom w:val="single" w:sz="4" w:space="0" w:color="auto"/>
              <w:right w:val="single" w:sz="4" w:space="0" w:color="auto"/>
            </w:tcBorders>
            <w:shd w:val="clear" w:color="auto" w:fill="auto"/>
            <w:noWrap/>
            <w:vAlign w:val="bottom"/>
            <w:hideMark/>
          </w:tcPr>
          <w:p w14:paraId="34789FD7"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1298DB2B"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407 380,40 € </w:t>
            </w:r>
          </w:p>
        </w:tc>
      </w:tr>
      <w:tr w:rsidR="00AD5FDE" w:rsidRPr="00AD5FDE" w14:paraId="0B38C0B4"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06CBDCF"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05/06/2019</w:t>
            </w:r>
          </w:p>
        </w:tc>
        <w:tc>
          <w:tcPr>
            <w:tcW w:w="2720" w:type="dxa"/>
            <w:tcBorders>
              <w:top w:val="nil"/>
              <w:left w:val="nil"/>
              <w:bottom w:val="single" w:sz="4" w:space="0" w:color="auto"/>
              <w:right w:val="single" w:sz="4" w:space="0" w:color="auto"/>
            </w:tcBorders>
            <w:shd w:val="clear" w:color="auto" w:fill="auto"/>
            <w:noWrap/>
            <w:vAlign w:val="bottom"/>
            <w:hideMark/>
          </w:tcPr>
          <w:p w14:paraId="06BA7529"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FIRST TRUST EUROZONE ALPHADX</w:t>
            </w:r>
          </w:p>
        </w:tc>
        <w:tc>
          <w:tcPr>
            <w:tcW w:w="561" w:type="dxa"/>
            <w:tcBorders>
              <w:top w:val="nil"/>
              <w:left w:val="nil"/>
              <w:bottom w:val="single" w:sz="4" w:space="0" w:color="auto"/>
              <w:right w:val="single" w:sz="4" w:space="0" w:color="auto"/>
            </w:tcBorders>
            <w:shd w:val="clear" w:color="auto" w:fill="auto"/>
            <w:noWrap/>
            <w:vAlign w:val="bottom"/>
            <w:hideMark/>
          </w:tcPr>
          <w:p w14:paraId="3A2D59E5"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78DE824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554 026,45 € </w:t>
            </w:r>
          </w:p>
        </w:tc>
      </w:tr>
      <w:tr w:rsidR="00AD5FDE" w:rsidRPr="00AD5FDE" w14:paraId="122A8DAA"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B4563E1"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06/06/2019</w:t>
            </w:r>
          </w:p>
        </w:tc>
        <w:tc>
          <w:tcPr>
            <w:tcW w:w="2720" w:type="dxa"/>
            <w:tcBorders>
              <w:top w:val="nil"/>
              <w:left w:val="nil"/>
              <w:bottom w:val="single" w:sz="4" w:space="0" w:color="auto"/>
              <w:right w:val="single" w:sz="4" w:space="0" w:color="auto"/>
            </w:tcBorders>
            <w:shd w:val="clear" w:color="auto" w:fill="auto"/>
            <w:noWrap/>
            <w:vAlign w:val="bottom"/>
            <w:hideMark/>
          </w:tcPr>
          <w:p w14:paraId="501561D7"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LBPAM </w:t>
            </w:r>
            <w:proofErr w:type="spellStart"/>
            <w:r w:rsidRPr="00AD5FDE">
              <w:rPr>
                <w:rFonts w:ascii="Calibri" w:eastAsia="Times New Roman" w:hAnsi="Calibri" w:cs="Calibri"/>
                <w:color w:val="000000"/>
                <w:sz w:val="18"/>
                <w:szCs w:val="18"/>
                <w:lang w:eastAsia="fr-FR"/>
              </w:rPr>
              <w:t>Oblig</w:t>
            </w:r>
            <w:proofErr w:type="spellEnd"/>
            <w:r w:rsidRPr="00AD5FDE">
              <w:rPr>
                <w:rFonts w:ascii="Calibri" w:eastAsia="Times New Roman" w:hAnsi="Calibri" w:cs="Calibri"/>
                <w:color w:val="000000"/>
                <w:sz w:val="18"/>
                <w:szCs w:val="18"/>
                <w:lang w:eastAsia="fr-FR"/>
              </w:rPr>
              <w:t xml:space="preserve"> Cross Over</w:t>
            </w:r>
          </w:p>
        </w:tc>
        <w:tc>
          <w:tcPr>
            <w:tcW w:w="561" w:type="dxa"/>
            <w:tcBorders>
              <w:top w:val="nil"/>
              <w:left w:val="nil"/>
              <w:bottom w:val="single" w:sz="4" w:space="0" w:color="auto"/>
              <w:right w:val="single" w:sz="4" w:space="0" w:color="auto"/>
            </w:tcBorders>
            <w:shd w:val="clear" w:color="auto" w:fill="auto"/>
            <w:noWrap/>
            <w:vAlign w:val="bottom"/>
            <w:hideMark/>
          </w:tcPr>
          <w:p w14:paraId="5F574A4C"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32CA339B"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334 806,92 € </w:t>
            </w:r>
          </w:p>
        </w:tc>
      </w:tr>
      <w:tr w:rsidR="00AD5FDE" w:rsidRPr="00AD5FDE" w14:paraId="2AAA7407"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58969C2"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12/06/2019</w:t>
            </w:r>
          </w:p>
        </w:tc>
        <w:tc>
          <w:tcPr>
            <w:tcW w:w="2720" w:type="dxa"/>
            <w:tcBorders>
              <w:top w:val="nil"/>
              <w:left w:val="nil"/>
              <w:bottom w:val="single" w:sz="4" w:space="0" w:color="auto"/>
              <w:right w:val="single" w:sz="4" w:space="0" w:color="auto"/>
            </w:tcBorders>
            <w:shd w:val="clear" w:color="auto" w:fill="auto"/>
            <w:noWrap/>
            <w:vAlign w:val="bottom"/>
            <w:hideMark/>
          </w:tcPr>
          <w:p w14:paraId="03AAF765" w14:textId="77777777" w:rsidR="00AD5FDE" w:rsidRPr="00AD5FDE" w:rsidRDefault="00AD5FDE" w:rsidP="00AD5FDE">
            <w:pPr>
              <w:spacing w:after="0" w:line="240" w:lineRule="auto"/>
              <w:rPr>
                <w:rFonts w:ascii="Calibri" w:eastAsia="Times New Roman" w:hAnsi="Calibri" w:cs="Calibri"/>
                <w:color w:val="000000"/>
                <w:sz w:val="18"/>
                <w:szCs w:val="18"/>
                <w:lang w:val="en-US" w:eastAsia="fr-FR"/>
              </w:rPr>
            </w:pPr>
            <w:r w:rsidRPr="00AD5FDE">
              <w:rPr>
                <w:rFonts w:ascii="Calibri" w:eastAsia="Times New Roman" w:hAnsi="Calibri" w:cs="Calibri"/>
                <w:color w:val="000000"/>
                <w:sz w:val="18"/>
                <w:szCs w:val="18"/>
                <w:lang w:val="en-US" w:eastAsia="fr-FR"/>
              </w:rPr>
              <w:t xml:space="preserve">DB </w:t>
            </w:r>
            <w:proofErr w:type="spellStart"/>
            <w:r w:rsidRPr="00AD5FDE">
              <w:rPr>
                <w:rFonts w:ascii="Calibri" w:eastAsia="Times New Roman" w:hAnsi="Calibri" w:cs="Calibri"/>
                <w:color w:val="000000"/>
                <w:sz w:val="18"/>
                <w:szCs w:val="18"/>
                <w:lang w:val="en-US" w:eastAsia="fr-FR"/>
              </w:rPr>
              <w:t>Platinium</w:t>
            </w:r>
            <w:proofErr w:type="spellEnd"/>
            <w:r w:rsidRPr="00AD5FDE">
              <w:rPr>
                <w:rFonts w:ascii="Calibri" w:eastAsia="Times New Roman" w:hAnsi="Calibri" w:cs="Calibri"/>
                <w:color w:val="000000"/>
                <w:sz w:val="18"/>
                <w:szCs w:val="18"/>
                <w:lang w:val="en-US" w:eastAsia="fr-FR"/>
              </w:rPr>
              <w:t xml:space="preserve"> Selwood Mkt Neutral</w:t>
            </w:r>
          </w:p>
        </w:tc>
        <w:tc>
          <w:tcPr>
            <w:tcW w:w="561" w:type="dxa"/>
            <w:tcBorders>
              <w:top w:val="nil"/>
              <w:left w:val="nil"/>
              <w:bottom w:val="single" w:sz="4" w:space="0" w:color="auto"/>
              <w:right w:val="single" w:sz="4" w:space="0" w:color="auto"/>
            </w:tcBorders>
            <w:shd w:val="clear" w:color="auto" w:fill="auto"/>
            <w:noWrap/>
            <w:vAlign w:val="bottom"/>
            <w:hideMark/>
          </w:tcPr>
          <w:p w14:paraId="50E18ED8"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7831D44D"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676 425,00 € </w:t>
            </w:r>
          </w:p>
        </w:tc>
      </w:tr>
      <w:tr w:rsidR="00AD5FDE" w:rsidRPr="00AD5FDE" w14:paraId="0719190F"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831F34D"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13/06/2019</w:t>
            </w:r>
          </w:p>
        </w:tc>
        <w:tc>
          <w:tcPr>
            <w:tcW w:w="2720" w:type="dxa"/>
            <w:tcBorders>
              <w:top w:val="nil"/>
              <w:left w:val="nil"/>
              <w:bottom w:val="single" w:sz="4" w:space="0" w:color="auto"/>
              <w:right w:val="single" w:sz="4" w:space="0" w:color="auto"/>
            </w:tcBorders>
            <w:shd w:val="clear" w:color="auto" w:fill="auto"/>
            <w:noWrap/>
            <w:vAlign w:val="bottom"/>
            <w:hideMark/>
          </w:tcPr>
          <w:p w14:paraId="5F4FCB1B"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Helium</w:t>
            </w:r>
            <w:proofErr w:type="spellEnd"/>
            <w:r w:rsidRPr="00AD5FDE">
              <w:rPr>
                <w:rFonts w:ascii="Calibri" w:eastAsia="Times New Roman" w:hAnsi="Calibri" w:cs="Calibri"/>
                <w:color w:val="000000"/>
                <w:sz w:val="18"/>
                <w:szCs w:val="18"/>
                <w:lang w:eastAsia="fr-FR"/>
              </w:rPr>
              <w:t xml:space="preserve"> Sélection part A</w:t>
            </w:r>
          </w:p>
        </w:tc>
        <w:tc>
          <w:tcPr>
            <w:tcW w:w="561" w:type="dxa"/>
            <w:tcBorders>
              <w:top w:val="nil"/>
              <w:left w:val="nil"/>
              <w:bottom w:val="single" w:sz="4" w:space="0" w:color="auto"/>
              <w:right w:val="single" w:sz="4" w:space="0" w:color="auto"/>
            </w:tcBorders>
            <w:shd w:val="clear" w:color="auto" w:fill="auto"/>
            <w:noWrap/>
            <w:vAlign w:val="bottom"/>
            <w:hideMark/>
          </w:tcPr>
          <w:p w14:paraId="132FA77F"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26398110"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417 180,34 € </w:t>
            </w:r>
          </w:p>
        </w:tc>
      </w:tr>
      <w:tr w:rsidR="00AD5FDE" w:rsidRPr="00AD5FDE" w14:paraId="2DFB942D"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8E30A8C"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14/06/2019</w:t>
            </w:r>
          </w:p>
        </w:tc>
        <w:tc>
          <w:tcPr>
            <w:tcW w:w="2720" w:type="dxa"/>
            <w:tcBorders>
              <w:top w:val="nil"/>
              <w:left w:val="nil"/>
              <w:bottom w:val="single" w:sz="4" w:space="0" w:color="auto"/>
              <w:right w:val="single" w:sz="4" w:space="0" w:color="auto"/>
            </w:tcBorders>
            <w:shd w:val="clear" w:color="auto" w:fill="auto"/>
            <w:noWrap/>
            <w:vAlign w:val="bottom"/>
            <w:hideMark/>
          </w:tcPr>
          <w:p w14:paraId="69187C3E"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Nordea</w:t>
            </w:r>
            <w:proofErr w:type="spellEnd"/>
            <w:r w:rsidRPr="00AD5FDE">
              <w:rPr>
                <w:rFonts w:ascii="Calibri" w:eastAsia="Times New Roman" w:hAnsi="Calibri" w:cs="Calibri"/>
                <w:color w:val="000000"/>
                <w:sz w:val="18"/>
                <w:szCs w:val="18"/>
                <w:lang w:eastAsia="fr-FR"/>
              </w:rPr>
              <w:t xml:space="preserve"> Low Duration</w:t>
            </w:r>
          </w:p>
        </w:tc>
        <w:tc>
          <w:tcPr>
            <w:tcW w:w="561" w:type="dxa"/>
            <w:tcBorders>
              <w:top w:val="nil"/>
              <w:left w:val="nil"/>
              <w:bottom w:val="single" w:sz="4" w:space="0" w:color="auto"/>
              <w:right w:val="single" w:sz="4" w:space="0" w:color="auto"/>
            </w:tcBorders>
            <w:shd w:val="clear" w:color="auto" w:fill="auto"/>
            <w:noWrap/>
            <w:vAlign w:val="bottom"/>
            <w:hideMark/>
          </w:tcPr>
          <w:p w14:paraId="6B63392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8938253"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945 438,00 € </w:t>
            </w:r>
          </w:p>
        </w:tc>
      </w:tr>
      <w:tr w:rsidR="00AD5FDE" w:rsidRPr="00AD5FDE" w14:paraId="6F1022F1"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7705D03"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14/06/2019</w:t>
            </w:r>
          </w:p>
        </w:tc>
        <w:tc>
          <w:tcPr>
            <w:tcW w:w="2720" w:type="dxa"/>
            <w:tcBorders>
              <w:top w:val="nil"/>
              <w:left w:val="nil"/>
              <w:bottom w:val="single" w:sz="4" w:space="0" w:color="auto"/>
              <w:right w:val="single" w:sz="4" w:space="0" w:color="auto"/>
            </w:tcBorders>
            <w:shd w:val="clear" w:color="auto" w:fill="auto"/>
            <w:noWrap/>
            <w:vAlign w:val="bottom"/>
            <w:hideMark/>
          </w:tcPr>
          <w:p w14:paraId="1CAD0DB0"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CPR Focus Inflation US</w:t>
            </w:r>
          </w:p>
        </w:tc>
        <w:tc>
          <w:tcPr>
            <w:tcW w:w="561" w:type="dxa"/>
            <w:tcBorders>
              <w:top w:val="nil"/>
              <w:left w:val="nil"/>
              <w:bottom w:val="single" w:sz="4" w:space="0" w:color="auto"/>
              <w:right w:val="single" w:sz="4" w:space="0" w:color="auto"/>
            </w:tcBorders>
            <w:shd w:val="clear" w:color="auto" w:fill="auto"/>
            <w:noWrap/>
            <w:vAlign w:val="bottom"/>
            <w:hideMark/>
          </w:tcPr>
          <w:p w14:paraId="35F2EB5C"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433BFAC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732 370,59 € </w:t>
            </w:r>
          </w:p>
        </w:tc>
      </w:tr>
      <w:tr w:rsidR="00AD5FDE" w:rsidRPr="00AD5FDE" w14:paraId="7E85F18B"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9196D69"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24/06/2019</w:t>
            </w:r>
          </w:p>
        </w:tc>
        <w:tc>
          <w:tcPr>
            <w:tcW w:w="2720" w:type="dxa"/>
            <w:tcBorders>
              <w:top w:val="nil"/>
              <w:left w:val="nil"/>
              <w:bottom w:val="single" w:sz="4" w:space="0" w:color="auto"/>
              <w:right w:val="single" w:sz="4" w:space="0" w:color="auto"/>
            </w:tcBorders>
            <w:shd w:val="clear" w:color="auto" w:fill="auto"/>
            <w:noWrap/>
            <w:vAlign w:val="bottom"/>
            <w:hideMark/>
          </w:tcPr>
          <w:p w14:paraId="3F874AB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Deutsche Euro HY </w:t>
            </w:r>
            <w:proofErr w:type="spellStart"/>
            <w:r w:rsidRPr="00AD5FDE">
              <w:rPr>
                <w:rFonts w:ascii="Calibri" w:eastAsia="Times New Roman" w:hAnsi="Calibri" w:cs="Calibri"/>
                <w:color w:val="000000"/>
                <w:sz w:val="18"/>
                <w:szCs w:val="18"/>
                <w:lang w:eastAsia="fr-FR"/>
              </w:rPr>
              <w:t>Corporate</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4449DB5E"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60718847"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861 372,00 € </w:t>
            </w:r>
          </w:p>
        </w:tc>
      </w:tr>
      <w:tr w:rsidR="00AD5FDE" w:rsidRPr="00AD5FDE" w14:paraId="7326E333"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39054F5"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24/06/2019</w:t>
            </w:r>
          </w:p>
        </w:tc>
        <w:tc>
          <w:tcPr>
            <w:tcW w:w="2720" w:type="dxa"/>
            <w:tcBorders>
              <w:top w:val="nil"/>
              <w:left w:val="nil"/>
              <w:bottom w:val="single" w:sz="4" w:space="0" w:color="auto"/>
              <w:right w:val="single" w:sz="4" w:space="0" w:color="auto"/>
            </w:tcBorders>
            <w:shd w:val="clear" w:color="auto" w:fill="auto"/>
            <w:noWrap/>
            <w:vAlign w:val="bottom"/>
            <w:hideMark/>
          </w:tcPr>
          <w:p w14:paraId="031837C3"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AUM </w:t>
            </w:r>
            <w:proofErr w:type="spellStart"/>
            <w:r w:rsidRPr="00AD5FDE">
              <w:rPr>
                <w:rFonts w:ascii="Calibri" w:eastAsia="Times New Roman" w:hAnsi="Calibri" w:cs="Calibri"/>
                <w:color w:val="000000"/>
                <w:sz w:val="18"/>
                <w:szCs w:val="18"/>
                <w:lang w:eastAsia="fr-FR"/>
              </w:rPr>
              <w:t>Equity</w:t>
            </w:r>
            <w:proofErr w:type="spellEnd"/>
            <w:r w:rsidRPr="00AD5FDE">
              <w:rPr>
                <w:rFonts w:ascii="Calibri" w:eastAsia="Times New Roman" w:hAnsi="Calibri" w:cs="Calibri"/>
                <w:color w:val="000000"/>
                <w:sz w:val="18"/>
                <w:szCs w:val="18"/>
                <w:lang w:eastAsia="fr-FR"/>
              </w:rPr>
              <w:t xml:space="preserve"> Europe</w:t>
            </w:r>
          </w:p>
        </w:tc>
        <w:tc>
          <w:tcPr>
            <w:tcW w:w="561" w:type="dxa"/>
            <w:tcBorders>
              <w:top w:val="nil"/>
              <w:left w:val="nil"/>
              <w:bottom w:val="single" w:sz="4" w:space="0" w:color="auto"/>
              <w:right w:val="single" w:sz="4" w:space="0" w:color="auto"/>
            </w:tcBorders>
            <w:shd w:val="clear" w:color="auto" w:fill="auto"/>
            <w:noWrap/>
            <w:vAlign w:val="bottom"/>
            <w:hideMark/>
          </w:tcPr>
          <w:p w14:paraId="531FF7F3"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0C78036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246 261,69 € </w:t>
            </w:r>
          </w:p>
        </w:tc>
      </w:tr>
      <w:tr w:rsidR="00AD5FDE" w:rsidRPr="00AD5FDE" w14:paraId="12F6A776"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5E70D7F"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24/06/2019</w:t>
            </w:r>
          </w:p>
        </w:tc>
        <w:tc>
          <w:tcPr>
            <w:tcW w:w="2720" w:type="dxa"/>
            <w:tcBorders>
              <w:top w:val="nil"/>
              <w:left w:val="nil"/>
              <w:bottom w:val="single" w:sz="4" w:space="0" w:color="auto"/>
              <w:right w:val="single" w:sz="4" w:space="0" w:color="auto"/>
            </w:tcBorders>
            <w:shd w:val="clear" w:color="auto" w:fill="auto"/>
            <w:noWrap/>
            <w:vAlign w:val="bottom"/>
            <w:hideMark/>
          </w:tcPr>
          <w:p w14:paraId="7BFD7F40"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Henderson Global HY</w:t>
            </w:r>
          </w:p>
        </w:tc>
        <w:tc>
          <w:tcPr>
            <w:tcW w:w="561" w:type="dxa"/>
            <w:tcBorders>
              <w:top w:val="nil"/>
              <w:left w:val="nil"/>
              <w:bottom w:val="single" w:sz="4" w:space="0" w:color="auto"/>
              <w:right w:val="single" w:sz="4" w:space="0" w:color="auto"/>
            </w:tcBorders>
            <w:shd w:val="clear" w:color="auto" w:fill="auto"/>
            <w:noWrap/>
            <w:vAlign w:val="bottom"/>
            <w:hideMark/>
          </w:tcPr>
          <w:p w14:paraId="4707AA58"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0C1EC19F"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402 532,89 € </w:t>
            </w:r>
          </w:p>
        </w:tc>
      </w:tr>
      <w:tr w:rsidR="00AD5FDE" w:rsidRPr="00AD5FDE" w14:paraId="53F20A74"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B832446"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09/07/2019</w:t>
            </w:r>
          </w:p>
        </w:tc>
        <w:tc>
          <w:tcPr>
            <w:tcW w:w="2720" w:type="dxa"/>
            <w:tcBorders>
              <w:top w:val="nil"/>
              <w:left w:val="nil"/>
              <w:bottom w:val="single" w:sz="4" w:space="0" w:color="auto"/>
              <w:right w:val="single" w:sz="4" w:space="0" w:color="auto"/>
            </w:tcBorders>
            <w:shd w:val="clear" w:color="auto" w:fill="auto"/>
            <w:noWrap/>
            <w:vAlign w:val="bottom"/>
            <w:hideMark/>
          </w:tcPr>
          <w:p w14:paraId="11135312"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Helium</w:t>
            </w:r>
            <w:proofErr w:type="spellEnd"/>
            <w:r w:rsidRPr="00AD5FDE">
              <w:rPr>
                <w:rFonts w:ascii="Calibri" w:eastAsia="Times New Roman" w:hAnsi="Calibri" w:cs="Calibri"/>
                <w:color w:val="000000"/>
                <w:sz w:val="18"/>
                <w:szCs w:val="18"/>
                <w:lang w:eastAsia="fr-FR"/>
              </w:rPr>
              <w:t xml:space="preserve"> Sélection part A</w:t>
            </w:r>
          </w:p>
        </w:tc>
        <w:tc>
          <w:tcPr>
            <w:tcW w:w="561" w:type="dxa"/>
            <w:tcBorders>
              <w:top w:val="nil"/>
              <w:left w:val="nil"/>
              <w:bottom w:val="single" w:sz="4" w:space="0" w:color="auto"/>
              <w:right w:val="single" w:sz="4" w:space="0" w:color="auto"/>
            </w:tcBorders>
            <w:shd w:val="clear" w:color="auto" w:fill="auto"/>
            <w:noWrap/>
            <w:vAlign w:val="bottom"/>
            <w:hideMark/>
          </w:tcPr>
          <w:p w14:paraId="2D669183"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2E91C5D"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408 661,94 € </w:t>
            </w:r>
          </w:p>
        </w:tc>
      </w:tr>
      <w:tr w:rsidR="00AD5FDE" w:rsidRPr="00AD5FDE" w14:paraId="768A821E"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787E8D9"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09/07/2019</w:t>
            </w:r>
          </w:p>
        </w:tc>
        <w:tc>
          <w:tcPr>
            <w:tcW w:w="2720" w:type="dxa"/>
            <w:tcBorders>
              <w:top w:val="nil"/>
              <w:left w:val="nil"/>
              <w:bottom w:val="single" w:sz="4" w:space="0" w:color="auto"/>
              <w:right w:val="single" w:sz="4" w:space="0" w:color="auto"/>
            </w:tcBorders>
            <w:shd w:val="clear" w:color="auto" w:fill="auto"/>
            <w:noWrap/>
            <w:vAlign w:val="bottom"/>
            <w:hideMark/>
          </w:tcPr>
          <w:p w14:paraId="03FC851B"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Helium</w:t>
            </w:r>
            <w:proofErr w:type="spellEnd"/>
            <w:r w:rsidRPr="00AD5FDE">
              <w:rPr>
                <w:rFonts w:ascii="Calibri" w:eastAsia="Times New Roman" w:hAnsi="Calibri" w:cs="Calibri"/>
                <w:color w:val="000000"/>
                <w:sz w:val="18"/>
                <w:szCs w:val="18"/>
                <w:lang w:eastAsia="fr-FR"/>
              </w:rPr>
              <w:t xml:space="preserve"> Sélection part S</w:t>
            </w:r>
          </w:p>
        </w:tc>
        <w:tc>
          <w:tcPr>
            <w:tcW w:w="561" w:type="dxa"/>
            <w:tcBorders>
              <w:top w:val="nil"/>
              <w:left w:val="nil"/>
              <w:bottom w:val="single" w:sz="4" w:space="0" w:color="auto"/>
              <w:right w:val="single" w:sz="4" w:space="0" w:color="auto"/>
            </w:tcBorders>
            <w:shd w:val="clear" w:color="auto" w:fill="auto"/>
            <w:noWrap/>
            <w:vAlign w:val="bottom"/>
            <w:hideMark/>
          </w:tcPr>
          <w:p w14:paraId="098B2019"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395B16E8"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408 661,94 € </w:t>
            </w:r>
          </w:p>
        </w:tc>
      </w:tr>
      <w:tr w:rsidR="00AD5FDE" w:rsidRPr="00AD5FDE" w14:paraId="4316E15F" w14:textId="77777777" w:rsidTr="00AD5FDE">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AAEAFCF"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11/07/2019</w:t>
            </w:r>
          </w:p>
        </w:tc>
        <w:tc>
          <w:tcPr>
            <w:tcW w:w="2720" w:type="dxa"/>
            <w:tcBorders>
              <w:top w:val="nil"/>
              <w:left w:val="nil"/>
              <w:bottom w:val="single" w:sz="4" w:space="0" w:color="auto"/>
              <w:right w:val="single" w:sz="4" w:space="0" w:color="auto"/>
            </w:tcBorders>
            <w:shd w:val="clear" w:color="auto" w:fill="auto"/>
            <w:noWrap/>
            <w:vAlign w:val="bottom"/>
            <w:hideMark/>
          </w:tcPr>
          <w:p w14:paraId="5A9B7C3A"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World Select </w:t>
            </w:r>
            <w:proofErr w:type="spellStart"/>
            <w:r w:rsidRPr="00AD5FDE">
              <w:rPr>
                <w:rFonts w:ascii="Calibri" w:eastAsia="Times New Roman" w:hAnsi="Calibri" w:cs="Calibri"/>
                <w:color w:val="000000"/>
                <w:sz w:val="18"/>
                <w:szCs w:val="18"/>
                <w:lang w:eastAsia="fr-FR"/>
              </w:rPr>
              <w:t>Special</w:t>
            </w:r>
            <w:proofErr w:type="spellEnd"/>
            <w:r w:rsidRPr="00AD5FDE">
              <w:rPr>
                <w:rFonts w:ascii="Calibri" w:eastAsia="Times New Roman" w:hAnsi="Calibri" w:cs="Calibri"/>
                <w:color w:val="000000"/>
                <w:sz w:val="18"/>
                <w:szCs w:val="18"/>
                <w:lang w:eastAsia="fr-FR"/>
              </w:rPr>
              <w:t xml:space="preserve"> Opp</w:t>
            </w:r>
          </w:p>
        </w:tc>
        <w:tc>
          <w:tcPr>
            <w:tcW w:w="561" w:type="dxa"/>
            <w:tcBorders>
              <w:top w:val="nil"/>
              <w:left w:val="nil"/>
              <w:bottom w:val="single" w:sz="4" w:space="0" w:color="auto"/>
              <w:right w:val="single" w:sz="4" w:space="0" w:color="auto"/>
            </w:tcBorders>
            <w:shd w:val="clear" w:color="auto" w:fill="auto"/>
            <w:noWrap/>
            <w:vAlign w:val="bottom"/>
            <w:hideMark/>
          </w:tcPr>
          <w:p w14:paraId="19F9A9B8"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19F0B9D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1 003 600,00 € </w:t>
            </w:r>
          </w:p>
        </w:tc>
      </w:tr>
      <w:tr w:rsidR="00AD5FDE" w:rsidRPr="00AD5FDE" w14:paraId="5EDA0137"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FD0D90B"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12/07/2019</w:t>
            </w:r>
          </w:p>
        </w:tc>
        <w:tc>
          <w:tcPr>
            <w:tcW w:w="2720" w:type="dxa"/>
            <w:tcBorders>
              <w:top w:val="nil"/>
              <w:left w:val="nil"/>
              <w:bottom w:val="single" w:sz="4" w:space="0" w:color="auto"/>
              <w:right w:val="single" w:sz="4" w:space="0" w:color="auto"/>
            </w:tcBorders>
            <w:shd w:val="clear" w:color="auto" w:fill="auto"/>
            <w:noWrap/>
            <w:vAlign w:val="bottom"/>
            <w:hideMark/>
          </w:tcPr>
          <w:p w14:paraId="6A236B89"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LBPAM </w:t>
            </w:r>
            <w:proofErr w:type="spellStart"/>
            <w:r w:rsidRPr="00AD5FDE">
              <w:rPr>
                <w:rFonts w:ascii="Calibri" w:eastAsia="Times New Roman" w:hAnsi="Calibri" w:cs="Calibri"/>
                <w:color w:val="000000"/>
                <w:sz w:val="18"/>
                <w:szCs w:val="18"/>
                <w:lang w:eastAsia="fr-FR"/>
              </w:rPr>
              <w:t>Oblig</w:t>
            </w:r>
            <w:proofErr w:type="spellEnd"/>
            <w:r w:rsidRPr="00AD5FDE">
              <w:rPr>
                <w:rFonts w:ascii="Calibri" w:eastAsia="Times New Roman" w:hAnsi="Calibri" w:cs="Calibri"/>
                <w:color w:val="000000"/>
                <w:sz w:val="18"/>
                <w:szCs w:val="18"/>
                <w:lang w:eastAsia="fr-FR"/>
              </w:rPr>
              <w:t xml:space="preserve"> Cross Over</w:t>
            </w:r>
          </w:p>
        </w:tc>
        <w:tc>
          <w:tcPr>
            <w:tcW w:w="561" w:type="dxa"/>
            <w:tcBorders>
              <w:top w:val="nil"/>
              <w:left w:val="nil"/>
              <w:bottom w:val="single" w:sz="4" w:space="0" w:color="auto"/>
              <w:right w:val="single" w:sz="4" w:space="0" w:color="auto"/>
            </w:tcBorders>
            <w:shd w:val="clear" w:color="auto" w:fill="auto"/>
            <w:noWrap/>
            <w:vAlign w:val="bottom"/>
            <w:hideMark/>
          </w:tcPr>
          <w:p w14:paraId="6BE1603A"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40357BC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265 863,18 € </w:t>
            </w:r>
          </w:p>
        </w:tc>
      </w:tr>
      <w:tr w:rsidR="00AD5FDE" w:rsidRPr="00AD5FDE" w14:paraId="2A7815A5"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C6D9436"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15/07/2019</w:t>
            </w:r>
          </w:p>
        </w:tc>
        <w:tc>
          <w:tcPr>
            <w:tcW w:w="2720" w:type="dxa"/>
            <w:tcBorders>
              <w:top w:val="nil"/>
              <w:left w:val="nil"/>
              <w:bottom w:val="single" w:sz="4" w:space="0" w:color="auto"/>
              <w:right w:val="single" w:sz="4" w:space="0" w:color="auto"/>
            </w:tcBorders>
            <w:shd w:val="clear" w:color="auto" w:fill="auto"/>
            <w:noWrap/>
            <w:vAlign w:val="bottom"/>
            <w:hideMark/>
          </w:tcPr>
          <w:p w14:paraId="42DBD7C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LBPAM </w:t>
            </w:r>
            <w:proofErr w:type="spellStart"/>
            <w:r w:rsidRPr="00AD5FDE">
              <w:rPr>
                <w:rFonts w:ascii="Calibri" w:eastAsia="Times New Roman" w:hAnsi="Calibri" w:cs="Calibri"/>
                <w:color w:val="000000"/>
                <w:sz w:val="18"/>
                <w:szCs w:val="18"/>
                <w:lang w:eastAsia="fr-FR"/>
              </w:rPr>
              <w:t>Oblig</w:t>
            </w:r>
            <w:proofErr w:type="spellEnd"/>
            <w:r w:rsidRPr="00AD5FDE">
              <w:rPr>
                <w:rFonts w:ascii="Calibri" w:eastAsia="Times New Roman" w:hAnsi="Calibri" w:cs="Calibri"/>
                <w:color w:val="000000"/>
                <w:sz w:val="18"/>
                <w:szCs w:val="18"/>
                <w:lang w:eastAsia="fr-FR"/>
              </w:rPr>
              <w:t xml:space="preserve"> Cross Over</w:t>
            </w:r>
          </w:p>
        </w:tc>
        <w:tc>
          <w:tcPr>
            <w:tcW w:w="561" w:type="dxa"/>
            <w:tcBorders>
              <w:top w:val="nil"/>
              <w:left w:val="nil"/>
              <w:bottom w:val="single" w:sz="4" w:space="0" w:color="auto"/>
              <w:right w:val="single" w:sz="4" w:space="0" w:color="auto"/>
            </w:tcBorders>
            <w:shd w:val="clear" w:color="auto" w:fill="auto"/>
            <w:noWrap/>
            <w:vAlign w:val="bottom"/>
            <w:hideMark/>
          </w:tcPr>
          <w:p w14:paraId="06F1A006"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7E94B887"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362 656,80 € </w:t>
            </w:r>
          </w:p>
        </w:tc>
      </w:tr>
      <w:tr w:rsidR="00AD5FDE" w:rsidRPr="00AD5FDE" w14:paraId="03E33EB5"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BE3257E"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01/08/2019</w:t>
            </w:r>
          </w:p>
        </w:tc>
        <w:tc>
          <w:tcPr>
            <w:tcW w:w="2720" w:type="dxa"/>
            <w:tcBorders>
              <w:top w:val="nil"/>
              <w:left w:val="nil"/>
              <w:bottom w:val="single" w:sz="4" w:space="0" w:color="auto"/>
              <w:right w:val="single" w:sz="4" w:space="0" w:color="auto"/>
            </w:tcBorders>
            <w:shd w:val="clear" w:color="auto" w:fill="auto"/>
            <w:noWrap/>
            <w:vAlign w:val="bottom"/>
            <w:hideMark/>
          </w:tcPr>
          <w:p w14:paraId="342248B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Helium</w:t>
            </w:r>
            <w:proofErr w:type="spellEnd"/>
            <w:r w:rsidRPr="00AD5FDE">
              <w:rPr>
                <w:rFonts w:ascii="Calibri" w:eastAsia="Times New Roman" w:hAnsi="Calibri" w:cs="Calibri"/>
                <w:color w:val="000000"/>
                <w:sz w:val="18"/>
                <w:szCs w:val="18"/>
                <w:lang w:eastAsia="fr-FR"/>
              </w:rPr>
              <w:t xml:space="preserve"> Sélection part A</w:t>
            </w:r>
          </w:p>
        </w:tc>
        <w:tc>
          <w:tcPr>
            <w:tcW w:w="561" w:type="dxa"/>
            <w:tcBorders>
              <w:top w:val="nil"/>
              <w:left w:val="nil"/>
              <w:bottom w:val="single" w:sz="4" w:space="0" w:color="auto"/>
              <w:right w:val="single" w:sz="4" w:space="0" w:color="auto"/>
            </w:tcBorders>
            <w:shd w:val="clear" w:color="auto" w:fill="auto"/>
            <w:noWrap/>
            <w:vAlign w:val="bottom"/>
            <w:hideMark/>
          </w:tcPr>
          <w:p w14:paraId="224C4436"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62E19A24"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369 416,40 € </w:t>
            </w:r>
          </w:p>
        </w:tc>
      </w:tr>
      <w:tr w:rsidR="00AD5FDE" w:rsidRPr="00AD5FDE" w14:paraId="42D6E959"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FE9613F"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06/08/2019</w:t>
            </w:r>
          </w:p>
        </w:tc>
        <w:tc>
          <w:tcPr>
            <w:tcW w:w="2720" w:type="dxa"/>
            <w:tcBorders>
              <w:top w:val="nil"/>
              <w:left w:val="nil"/>
              <w:bottom w:val="single" w:sz="4" w:space="0" w:color="auto"/>
              <w:right w:val="single" w:sz="4" w:space="0" w:color="auto"/>
            </w:tcBorders>
            <w:shd w:val="clear" w:color="auto" w:fill="auto"/>
            <w:noWrap/>
            <w:vAlign w:val="bottom"/>
            <w:hideMark/>
          </w:tcPr>
          <w:p w14:paraId="77449044" w14:textId="77777777" w:rsidR="00AD5FDE" w:rsidRPr="00AD5FDE" w:rsidRDefault="00AD5FDE" w:rsidP="00AD5FDE">
            <w:pPr>
              <w:spacing w:after="0" w:line="240" w:lineRule="auto"/>
              <w:rPr>
                <w:rFonts w:ascii="Calibri" w:eastAsia="Times New Roman" w:hAnsi="Calibri" w:cs="Calibri"/>
                <w:color w:val="000000"/>
                <w:sz w:val="18"/>
                <w:szCs w:val="18"/>
                <w:lang w:val="en-US" w:eastAsia="fr-FR"/>
              </w:rPr>
            </w:pPr>
            <w:r w:rsidRPr="00AD5FDE">
              <w:rPr>
                <w:rFonts w:ascii="Calibri" w:eastAsia="Times New Roman" w:hAnsi="Calibri" w:cs="Calibri"/>
                <w:color w:val="000000"/>
                <w:sz w:val="18"/>
                <w:szCs w:val="18"/>
                <w:lang w:val="en-US" w:eastAsia="fr-FR"/>
              </w:rPr>
              <w:t xml:space="preserve">DB </w:t>
            </w:r>
            <w:proofErr w:type="spellStart"/>
            <w:r w:rsidRPr="00AD5FDE">
              <w:rPr>
                <w:rFonts w:ascii="Calibri" w:eastAsia="Times New Roman" w:hAnsi="Calibri" w:cs="Calibri"/>
                <w:color w:val="000000"/>
                <w:sz w:val="18"/>
                <w:szCs w:val="18"/>
                <w:lang w:val="en-US" w:eastAsia="fr-FR"/>
              </w:rPr>
              <w:t>Platinium</w:t>
            </w:r>
            <w:proofErr w:type="spellEnd"/>
            <w:r w:rsidRPr="00AD5FDE">
              <w:rPr>
                <w:rFonts w:ascii="Calibri" w:eastAsia="Times New Roman" w:hAnsi="Calibri" w:cs="Calibri"/>
                <w:color w:val="000000"/>
                <w:sz w:val="18"/>
                <w:szCs w:val="18"/>
                <w:lang w:val="en-US" w:eastAsia="fr-FR"/>
              </w:rPr>
              <w:t xml:space="preserve"> Selwood Mkt Neutral</w:t>
            </w:r>
          </w:p>
        </w:tc>
        <w:tc>
          <w:tcPr>
            <w:tcW w:w="561" w:type="dxa"/>
            <w:tcBorders>
              <w:top w:val="nil"/>
              <w:left w:val="nil"/>
              <w:bottom w:val="single" w:sz="4" w:space="0" w:color="auto"/>
              <w:right w:val="single" w:sz="4" w:space="0" w:color="auto"/>
            </w:tcBorders>
            <w:shd w:val="clear" w:color="auto" w:fill="auto"/>
            <w:noWrap/>
            <w:vAlign w:val="bottom"/>
            <w:hideMark/>
          </w:tcPr>
          <w:p w14:paraId="1C5F6D8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13F89774"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325 524,00 € </w:t>
            </w:r>
          </w:p>
        </w:tc>
      </w:tr>
      <w:tr w:rsidR="00AD5FDE" w:rsidRPr="00AD5FDE" w14:paraId="51B1655A"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9C2DB9D"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07/08/2019</w:t>
            </w:r>
          </w:p>
        </w:tc>
        <w:tc>
          <w:tcPr>
            <w:tcW w:w="2720" w:type="dxa"/>
            <w:tcBorders>
              <w:top w:val="nil"/>
              <w:left w:val="nil"/>
              <w:bottom w:val="single" w:sz="4" w:space="0" w:color="auto"/>
              <w:right w:val="single" w:sz="4" w:space="0" w:color="auto"/>
            </w:tcBorders>
            <w:shd w:val="clear" w:color="auto" w:fill="auto"/>
            <w:noWrap/>
            <w:vAlign w:val="bottom"/>
            <w:hideMark/>
          </w:tcPr>
          <w:p w14:paraId="536FFF89" w14:textId="77777777" w:rsidR="00AD5FDE" w:rsidRPr="00AD5FDE" w:rsidRDefault="00AD5FDE" w:rsidP="00AD5FDE">
            <w:pPr>
              <w:spacing w:after="0" w:line="240" w:lineRule="auto"/>
              <w:rPr>
                <w:rFonts w:ascii="Calibri" w:eastAsia="Times New Roman" w:hAnsi="Calibri" w:cs="Calibri"/>
                <w:color w:val="000000"/>
                <w:sz w:val="18"/>
                <w:szCs w:val="18"/>
                <w:lang w:val="en-US" w:eastAsia="fr-FR"/>
              </w:rPr>
            </w:pPr>
            <w:r w:rsidRPr="00AD5FDE">
              <w:rPr>
                <w:rFonts w:ascii="Calibri" w:eastAsia="Times New Roman" w:hAnsi="Calibri" w:cs="Calibri"/>
                <w:color w:val="000000"/>
                <w:sz w:val="18"/>
                <w:szCs w:val="18"/>
                <w:lang w:val="en-US" w:eastAsia="fr-FR"/>
              </w:rPr>
              <w:t xml:space="preserve">DB </w:t>
            </w:r>
            <w:proofErr w:type="spellStart"/>
            <w:r w:rsidRPr="00AD5FDE">
              <w:rPr>
                <w:rFonts w:ascii="Calibri" w:eastAsia="Times New Roman" w:hAnsi="Calibri" w:cs="Calibri"/>
                <w:color w:val="000000"/>
                <w:sz w:val="18"/>
                <w:szCs w:val="18"/>
                <w:lang w:val="en-US" w:eastAsia="fr-FR"/>
              </w:rPr>
              <w:t>Platinium</w:t>
            </w:r>
            <w:proofErr w:type="spellEnd"/>
            <w:r w:rsidRPr="00AD5FDE">
              <w:rPr>
                <w:rFonts w:ascii="Calibri" w:eastAsia="Times New Roman" w:hAnsi="Calibri" w:cs="Calibri"/>
                <w:color w:val="000000"/>
                <w:sz w:val="18"/>
                <w:szCs w:val="18"/>
                <w:lang w:val="en-US" w:eastAsia="fr-FR"/>
              </w:rPr>
              <w:t xml:space="preserve"> Selwood Mkt Neutral</w:t>
            </w:r>
          </w:p>
        </w:tc>
        <w:tc>
          <w:tcPr>
            <w:tcW w:w="561" w:type="dxa"/>
            <w:tcBorders>
              <w:top w:val="nil"/>
              <w:left w:val="nil"/>
              <w:bottom w:val="single" w:sz="4" w:space="0" w:color="auto"/>
              <w:right w:val="single" w:sz="4" w:space="0" w:color="auto"/>
            </w:tcBorders>
            <w:shd w:val="clear" w:color="auto" w:fill="auto"/>
            <w:noWrap/>
            <w:vAlign w:val="bottom"/>
            <w:hideMark/>
          </w:tcPr>
          <w:p w14:paraId="0AAAFB05"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C6CB6E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324 777,00 € </w:t>
            </w:r>
          </w:p>
        </w:tc>
      </w:tr>
      <w:tr w:rsidR="00AD5FDE" w:rsidRPr="00AD5FDE" w14:paraId="428D3C0C"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D8A18B2"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09/08/2019</w:t>
            </w:r>
          </w:p>
        </w:tc>
        <w:tc>
          <w:tcPr>
            <w:tcW w:w="2720" w:type="dxa"/>
            <w:tcBorders>
              <w:top w:val="nil"/>
              <w:left w:val="nil"/>
              <w:bottom w:val="single" w:sz="4" w:space="0" w:color="auto"/>
              <w:right w:val="single" w:sz="4" w:space="0" w:color="auto"/>
            </w:tcBorders>
            <w:shd w:val="clear" w:color="auto" w:fill="auto"/>
            <w:noWrap/>
            <w:vAlign w:val="bottom"/>
            <w:hideMark/>
          </w:tcPr>
          <w:p w14:paraId="55E226D3"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Allianz </w:t>
            </w:r>
            <w:proofErr w:type="spellStart"/>
            <w:r w:rsidRPr="00AD5FDE">
              <w:rPr>
                <w:rFonts w:ascii="Calibri" w:eastAsia="Times New Roman" w:hAnsi="Calibri" w:cs="Calibri"/>
                <w:color w:val="000000"/>
                <w:sz w:val="18"/>
                <w:szCs w:val="18"/>
                <w:lang w:eastAsia="fr-FR"/>
              </w:rPr>
              <w:t>Credit</w:t>
            </w:r>
            <w:proofErr w:type="spellEnd"/>
            <w:r w:rsidRPr="00AD5FDE">
              <w:rPr>
                <w:rFonts w:ascii="Calibri" w:eastAsia="Times New Roman" w:hAnsi="Calibri" w:cs="Calibri"/>
                <w:color w:val="000000"/>
                <w:sz w:val="18"/>
                <w:szCs w:val="18"/>
                <w:lang w:eastAsia="fr-FR"/>
              </w:rPr>
              <w:t xml:space="preserve"> Opportunités</w:t>
            </w:r>
          </w:p>
        </w:tc>
        <w:tc>
          <w:tcPr>
            <w:tcW w:w="561" w:type="dxa"/>
            <w:tcBorders>
              <w:top w:val="nil"/>
              <w:left w:val="nil"/>
              <w:bottom w:val="single" w:sz="4" w:space="0" w:color="auto"/>
              <w:right w:val="single" w:sz="4" w:space="0" w:color="auto"/>
            </w:tcBorders>
            <w:shd w:val="clear" w:color="auto" w:fill="auto"/>
            <w:noWrap/>
            <w:vAlign w:val="bottom"/>
            <w:hideMark/>
          </w:tcPr>
          <w:p w14:paraId="5FF85567"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4F127B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1 009 800,00 € </w:t>
            </w:r>
          </w:p>
        </w:tc>
      </w:tr>
      <w:tr w:rsidR="00AD5FDE" w:rsidRPr="00AD5FDE" w14:paraId="1D3E4371"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F456469"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22/08/2019</w:t>
            </w:r>
          </w:p>
        </w:tc>
        <w:tc>
          <w:tcPr>
            <w:tcW w:w="2720" w:type="dxa"/>
            <w:tcBorders>
              <w:top w:val="nil"/>
              <w:left w:val="nil"/>
              <w:bottom w:val="single" w:sz="4" w:space="0" w:color="auto"/>
              <w:right w:val="single" w:sz="4" w:space="0" w:color="auto"/>
            </w:tcBorders>
            <w:shd w:val="clear" w:color="auto" w:fill="auto"/>
            <w:noWrap/>
            <w:vAlign w:val="bottom"/>
            <w:hideMark/>
          </w:tcPr>
          <w:p w14:paraId="6429F7FE"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Allianz </w:t>
            </w:r>
            <w:proofErr w:type="spellStart"/>
            <w:r w:rsidRPr="00AD5FDE">
              <w:rPr>
                <w:rFonts w:ascii="Calibri" w:eastAsia="Times New Roman" w:hAnsi="Calibri" w:cs="Calibri"/>
                <w:color w:val="000000"/>
                <w:sz w:val="18"/>
                <w:szCs w:val="18"/>
                <w:lang w:eastAsia="fr-FR"/>
              </w:rPr>
              <w:t>Credit</w:t>
            </w:r>
            <w:proofErr w:type="spellEnd"/>
            <w:r w:rsidRPr="00AD5FDE">
              <w:rPr>
                <w:rFonts w:ascii="Calibri" w:eastAsia="Times New Roman" w:hAnsi="Calibri" w:cs="Calibri"/>
                <w:color w:val="000000"/>
                <w:sz w:val="18"/>
                <w:szCs w:val="18"/>
                <w:lang w:eastAsia="fr-FR"/>
              </w:rPr>
              <w:t xml:space="preserve"> Opportunités</w:t>
            </w:r>
          </w:p>
        </w:tc>
        <w:tc>
          <w:tcPr>
            <w:tcW w:w="561" w:type="dxa"/>
            <w:tcBorders>
              <w:top w:val="nil"/>
              <w:left w:val="nil"/>
              <w:bottom w:val="single" w:sz="4" w:space="0" w:color="auto"/>
              <w:right w:val="single" w:sz="4" w:space="0" w:color="auto"/>
            </w:tcBorders>
            <w:shd w:val="clear" w:color="auto" w:fill="auto"/>
            <w:noWrap/>
            <w:vAlign w:val="bottom"/>
            <w:hideMark/>
          </w:tcPr>
          <w:p w14:paraId="391BC209"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78EFA949"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353 640,00 € </w:t>
            </w:r>
          </w:p>
        </w:tc>
      </w:tr>
      <w:tr w:rsidR="00AD5FDE" w:rsidRPr="00AD5FDE" w14:paraId="55791341"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8AE0B82"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23/08/2019</w:t>
            </w:r>
          </w:p>
        </w:tc>
        <w:tc>
          <w:tcPr>
            <w:tcW w:w="2720" w:type="dxa"/>
            <w:tcBorders>
              <w:top w:val="nil"/>
              <w:left w:val="nil"/>
              <w:bottom w:val="single" w:sz="4" w:space="0" w:color="auto"/>
              <w:right w:val="single" w:sz="4" w:space="0" w:color="auto"/>
            </w:tcBorders>
            <w:shd w:val="clear" w:color="auto" w:fill="auto"/>
            <w:noWrap/>
            <w:vAlign w:val="bottom"/>
            <w:hideMark/>
          </w:tcPr>
          <w:p w14:paraId="47FC62AD"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Muzinich</w:t>
            </w:r>
            <w:proofErr w:type="spellEnd"/>
            <w:r w:rsidRPr="00AD5FDE">
              <w:rPr>
                <w:rFonts w:ascii="Calibri" w:eastAsia="Times New Roman" w:hAnsi="Calibri" w:cs="Calibri"/>
                <w:color w:val="000000"/>
                <w:sz w:val="18"/>
                <w:szCs w:val="18"/>
                <w:lang w:eastAsia="fr-FR"/>
              </w:rPr>
              <w:t xml:space="preserve"> Long Short </w:t>
            </w:r>
            <w:proofErr w:type="spellStart"/>
            <w:r w:rsidRPr="00AD5FDE">
              <w:rPr>
                <w:rFonts w:ascii="Calibri" w:eastAsia="Times New Roman" w:hAnsi="Calibri" w:cs="Calibri"/>
                <w:color w:val="000000"/>
                <w:sz w:val="18"/>
                <w:szCs w:val="18"/>
                <w:lang w:eastAsia="fr-FR"/>
              </w:rPr>
              <w:t>Credit</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386268C8"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325A83A5"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671 766,00 € </w:t>
            </w:r>
          </w:p>
        </w:tc>
      </w:tr>
      <w:tr w:rsidR="00AD5FDE" w:rsidRPr="00AD5FDE" w14:paraId="087B1F49"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0E474F0"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lastRenderedPageBreak/>
              <w:t>16/09/2019</w:t>
            </w:r>
          </w:p>
        </w:tc>
        <w:tc>
          <w:tcPr>
            <w:tcW w:w="2720" w:type="dxa"/>
            <w:tcBorders>
              <w:top w:val="nil"/>
              <w:left w:val="nil"/>
              <w:bottom w:val="single" w:sz="4" w:space="0" w:color="auto"/>
              <w:right w:val="single" w:sz="4" w:space="0" w:color="auto"/>
            </w:tcBorders>
            <w:shd w:val="clear" w:color="auto" w:fill="auto"/>
            <w:noWrap/>
            <w:vAlign w:val="bottom"/>
            <w:hideMark/>
          </w:tcPr>
          <w:p w14:paraId="7766EA3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Covea</w:t>
            </w:r>
            <w:proofErr w:type="spellEnd"/>
            <w:r w:rsidRPr="00AD5FDE">
              <w:rPr>
                <w:rFonts w:ascii="Calibri" w:eastAsia="Times New Roman" w:hAnsi="Calibri" w:cs="Calibri"/>
                <w:color w:val="000000"/>
                <w:sz w:val="18"/>
                <w:szCs w:val="18"/>
                <w:lang w:eastAsia="fr-FR"/>
              </w:rPr>
              <w:t xml:space="preserve"> Haut Rendement</w:t>
            </w:r>
          </w:p>
        </w:tc>
        <w:tc>
          <w:tcPr>
            <w:tcW w:w="561" w:type="dxa"/>
            <w:tcBorders>
              <w:top w:val="nil"/>
              <w:left w:val="nil"/>
              <w:bottom w:val="single" w:sz="4" w:space="0" w:color="auto"/>
              <w:right w:val="single" w:sz="4" w:space="0" w:color="auto"/>
            </w:tcBorders>
            <w:shd w:val="clear" w:color="auto" w:fill="auto"/>
            <w:noWrap/>
            <w:vAlign w:val="bottom"/>
            <w:hideMark/>
          </w:tcPr>
          <w:p w14:paraId="4234F1D7"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042E8A45" w14:textId="77777777" w:rsidR="00AD5FDE" w:rsidRPr="00AD5FDE" w:rsidRDefault="00AD5FDE" w:rsidP="00AD5FDE">
            <w:pPr>
              <w:spacing w:after="0" w:line="240" w:lineRule="auto"/>
              <w:rPr>
                <w:rFonts w:ascii="Calibri" w:eastAsia="Times New Roman" w:hAnsi="Calibri" w:cs="Calibri"/>
                <w:i/>
                <w:iCs/>
                <w:color w:val="000000"/>
                <w:sz w:val="18"/>
                <w:szCs w:val="18"/>
                <w:lang w:eastAsia="fr-FR"/>
              </w:rPr>
            </w:pPr>
            <w:r w:rsidRPr="00AD5FDE">
              <w:rPr>
                <w:rFonts w:ascii="Calibri" w:eastAsia="Times New Roman" w:hAnsi="Calibri" w:cs="Calibri"/>
                <w:i/>
                <w:iCs/>
                <w:color w:val="000000"/>
                <w:sz w:val="18"/>
                <w:szCs w:val="18"/>
                <w:lang w:eastAsia="fr-FR"/>
              </w:rPr>
              <w:t xml:space="preserve">        1 020 651,00 € </w:t>
            </w:r>
          </w:p>
        </w:tc>
      </w:tr>
      <w:tr w:rsidR="00AD5FDE" w:rsidRPr="00AD5FDE" w14:paraId="2EE00340"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66BD90E"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19/09/2019</w:t>
            </w:r>
          </w:p>
        </w:tc>
        <w:tc>
          <w:tcPr>
            <w:tcW w:w="2720" w:type="dxa"/>
            <w:tcBorders>
              <w:top w:val="nil"/>
              <w:left w:val="nil"/>
              <w:bottom w:val="single" w:sz="4" w:space="0" w:color="auto"/>
              <w:right w:val="single" w:sz="4" w:space="0" w:color="auto"/>
            </w:tcBorders>
            <w:shd w:val="clear" w:color="auto" w:fill="auto"/>
            <w:noWrap/>
            <w:vAlign w:val="bottom"/>
            <w:hideMark/>
          </w:tcPr>
          <w:p w14:paraId="2272EE5E"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Ostrum</w:t>
            </w:r>
            <w:proofErr w:type="spellEnd"/>
            <w:r w:rsidRPr="00AD5FDE">
              <w:rPr>
                <w:rFonts w:ascii="Calibri" w:eastAsia="Times New Roman" w:hAnsi="Calibri" w:cs="Calibri"/>
                <w:color w:val="000000"/>
                <w:sz w:val="18"/>
                <w:szCs w:val="18"/>
                <w:lang w:eastAsia="fr-FR"/>
              </w:rPr>
              <w:t xml:space="preserve"> Euro ABS IG</w:t>
            </w:r>
          </w:p>
        </w:tc>
        <w:tc>
          <w:tcPr>
            <w:tcW w:w="561" w:type="dxa"/>
            <w:tcBorders>
              <w:top w:val="nil"/>
              <w:left w:val="nil"/>
              <w:bottom w:val="single" w:sz="4" w:space="0" w:color="auto"/>
              <w:right w:val="single" w:sz="4" w:space="0" w:color="auto"/>
            </w:tcBorders>
            <w:shd w:val="clear" w:color="auto" w:fill="auto"/>
            <w:noWrap/>
            <w:vAlign w:val="bottom"/>
            <w:hideMark/>
          </w:tcPr>
          <w:p w14:paraId="2E2F3E6D"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657AB0DD" w14:textId="77777777" w:rsidR="00AD5FDE" w:rsidRPr="00AD5FDE" w:rsidRDefault="00AD5FDE" w:rsidP="00AD5FDE">
            <w:pPr>
              <w:spacing w:after="0" w:line="240" w:lineRule="auto"/>
              <w:rPr>
                <w:rFonts w:ascii="Calibri" w:eastAsia="Times New Roman" w:hAnsi="Calibri" w:cs="Calibri"/>
                <w:i/>
                <w:iCs/>
                <w:color w:val="000000"/>
                <w:sz w:val="18"/>
                <w:szCs w:val="18"/>
                <w:lang w:eastAsia="fr-FR"/>
              </w:rPr>
            </w:pPr>
            <w:r w:rsidRPr="00AD5FDE">
              <w:rPr>
                <w:rFonts w:ascii="Calibri" w:eastAsia="Times New Roman" w:hAnsi="Calibri" w:cs="Calibri"/>
                <w:i/>
                <w:iCs/>
                <w:color w:val="000000"/>
                <w:sz w:val="18"/>
                <w:szCs w:val="18"/>
                <w:lang w:eastAsia="fr-FR"/>
              </w:rPr>
              <w:t xml:space="preserve">        1 700 193,00 € </w:t>
            </w:r>
          </w:p>
        </w:tc>
      </w:tr>
      <w:tr w:rsidR="00AD5FDE" w:rsidRPr="00AD5FDE" w14:paraId="7777F6C2"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2E9767B"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23/09/2019</w:t>
            </w:r>
          </w:p>
        </w:tc>
        <w:tc>
          <w:tcPr>
            <w:tcW w:w="2720" w:type="dxa"/>
            <w:tcBorders>
              <w:top w:val="nil"/>
              <w:left w:val="nil"/>
              <w:bottom w:val="single" w:sz="4" w:space="0" w:color="auto"/>
              <w:right w:val="single" w:sz="4" w:space="0" w:color="auto"/>
            </w:tcBorders>
            <w:shd w:val="clear" w:color="auto" w:fill="auto"/>
            <w:noWrap/>
            <w:vAlign w:val="bottom"/>
            <w:hideMark/>
          </w:tcPr>
          <w:p w14:paraId="31732A6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Covea</w:t>
            </w:r>
            <w:proofErr w:type="spellEnd"/>
            <w:r w:rsidRPr="00AD5FDE">
              <w:rPr>
                <w:rFonts w:ascii="Calibri" w:eastAsia="Times New Roman" w:hAnsi="Calibri" w:cs="Calibri"/>
                <w:color w:val="000000"/>
                <w:sz w:val="18"/>
                <w:szCs w:val="18"/>
                <w:lang w:eastAsia="fr-FR"/>
              </w:rPr>
              <w:t xml:space="preserve"> Haut Rendement</w:t>
            </w:r>
          </w:p>
        </w:tc>
        <w:tc>
          <w:tcPr>
            <w:tcW w:w="561" w:type="dxa"/>
            <w:tcBorders>
              <w:top w:val="nil"/>
              <w:left w:val="nil"/>
              <w:bottom w:val="single" w:sz="4" w:space="0" w:color="auto"/>
              <w:right w:val="single" w:sz="4" w:space="0" w:color="auto"/>
            </w:tcBorders>
            <w:shd w:val="clear" w:color="auto" w:fill="auto"/>
            <w:noWrap/>
            <w:vAlign w:val="bottom"/>
            <w:hideMark/>
          </w:tcPr>
          <w:p w14:paraId="2A2F2DA1"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6EF63C66" w14:textId="77777777" w:rsidR="00AD5FDE" w:rsidRPr="00AD5FDE" w:rsidRDefault="00AD5FDE" w:rsidP="00AD5FDE">
            <w:pPr>
              <w:spacing w:after="0" w:line="240" w:lineRule="auto"/>
              <w:rPr>
                <w:rFonts w:ascii="Calibri" w:eastAsia="Times New Roman" w:hAnsi="Calibri" w:cs="Calibri"/>
                <w:i/>
                <w:iCs/>
                <w:color w:val="000000"/>
                <w:sz w:val="18"/>
                <w:szCs w:val="18"/>
                <w:lang w:eastAsia="fr-FR"/>
              </w:rPr>
            </w:pPr>
            <w:r w:rsidRPr="00AD5FDE">
              <w:rPr>
                <w:rFonts w:ascii="Calibri" w:eastAsia="Times New Roman" w:hAnsi="Calibri" w:cs="Calibri"/>
                <w:i/>
                <w:iCs/>
                <w:color w:val="000000"/>
                <w:sz w:val="18"/>
                <w:szCs w:val="18"/>
                <w:lang w:eastAsia="fr-FR"/>
              </w:rPr>
              <w:t xml:space="preserve">           368 640,00 € </w:t>
            </w:r>
          </w:p>
        </w:tc>
      </w:tr>
      <w:tr w:rsidR="00AD5FDE" w:rsidRPr="00AD5FDE" w14:paraId="44B80C63"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0426B49"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25/09/2019</w:t>
            </w:r>
          </w:p>
        </w:tc>
        <w:tc>
          <w:tcPr>
            <w:tcW w:w="2720" w:type="dxa"/>
            <w:tcBorders>
              <w:top w:val="nil"/>
              <w:left w:val="nil"/>
              <w:bottom w:val="single" w:sz="4" w:space="0" w:color="auto"/>
              <w:right w:val="single" w:sz="4" w:space="0" w:color="auto"/>
            </w:tcBorders>
            <w:shd w:val="clear" w:color="auto" w:fill="auto"/>
            <w:noWrap/>
            <w:vAlign w:val="bottom"/>
            <w:hideMark/>
          </w:tcPr>
          <w:p w14:paraId="1F1A9E4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Allianz </w:t>
            </w:r>
            <w:proofErr w:type="spellStart"/>
            <w:r w:rsidRPr="00AD5FDE">
              <w:rPr>
                <w:rFonts w:ascii="Calibri" w:eastAsia="Times New Roman" w:hAnsi="Calibri" w:cs="Calibri"/>
                <w:color w:val="000000"/>
                <w:sz w:val="18"/>
                <w:szCs w:val="18"/>
                <w:lang w:eastAsia="fr-FR"/>
              </w:rPr>
              <w:t>Credit</w:t>
            </w:r>
            <w:proofErr w:type="spellEnd"/>
            <w:r w:rsidRPr="00AD5FDE">
              <w:rPr>
                <w:rFonts w:ascii="Calibri" w:eastAsia="Times New Roman" w:hAnsi="Calibri" w:cs="Calibri"/>
                <w:color w:val="000000"/>
                <w:sz w:val="18"/>
                <w:szCs w:val="18"/>
                <w:lang w:eastAsia="fr-FR"/>
              </w:rPr>
              <w:t xml:space="preserve"> Opportunités</w:t>
            </w:r>
          </w:p>
        </w:tc>
        <w:tc>
          <w:tcPr>
            <w:tcW w:w="561" w:type="dxa"/>
            <w:tcBorders>
              <w:top w:val="nil"/>
              <w:left w:val="nil"/>
              <w:bottom w:val="single" w:sz="4" w:space="0" w:color="auto"/>
              <w:right w:val="single" w:sz="4" w:space="0" w:color="auto"/>
            </w:tcBorders>
            <w:shd w:val="clear" w:color="auto" w:fill="auto"/>
            <w:noWrap/>
            <w:vAlign w:val="bottom"/>
            <w:hideMark/>
          </w:tcPr>
          <w:p w14:paraId="5B36933C"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7BB3A4A" w14:textId="77777777" w:rsidR="00AD5FDE" w:rsidRPr="00AD5FDE" w:rsidRDefault="00AD5FDE" w:rsidP="00AD5FDE">
            <w:pPr>
              <w:spacing w:after="0" w:line="240" w:lineRule="auto"/>
              <w:rPr>
                <w:rFonts w:ascii="Calibri" w:eastAsia="Times New Roman" w:hAnsi="Calibri" w:cs="Calibri"/>
                <w:i/>
                <w:iCs/>
                <w:color w:val="000000"/>
                <w:sz w:val="18"/>
                <w:szCs w:val="18"/>
                <w:lang w:eastAsia="fr-FR"/>
              </w:rPr>
            </w:pPr>
            <w:r w:rsidRPr="00AD5FDE">
              <w:rPr>
                <w:rFonts w:ascii="Calibri" w:eastAsia="Times New Roman" w:hAnsi="Calibri" w:cs="Calibri"/>
                <w:i/>
                <w:iCs/>
                <w:color w:val="000000"/>
                <w:sz w:val="18"/>
                <w:szCs w:val="18"/>
                <w:lang w:eastAsia="fr-FR"/>
              </w:rPr>
              <w:t xml:space="preserve">           302 760,00 € </w:t>
            </w:r>
          </w:p>
        </w:tc>
      </w:tr>
      <w:tr w:rsidR="00AD5FDE" w:rsidRPr="00AD5FDE" w14:paraId="6BFC0D34"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3C01432"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26/09/2019</w:t>
            </w:r>
          </w:p>
        </w:tc>
        <w:tc>
          <w:tcPr>
            <w:tcW w:w="2720" w:type="dxa"/>
            <w:tcBorders>
              <w:top w:val="nil"/>
              <w:left w:val="nil"/>
              <w:bottom w:val="single" w:sz="4" w:space="0" w:color="auto"/>
              <w:right w:val="single" w:sz="4" w:space="0" w:color="auto"/>
            </w:tcBorders>
            <w:shd w:val="clear" w:color="auto" w:fill="auto"/>
            <w:noWrap/>
            <w:vAlign w:val="bottom"/>
            <w:hideMark/>
          </w:tcPr>
          <w:p w14:paraId="5AD3A106"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Nordea</w:t>
            </w:r>
            <w:proofErr w:type="spellEnd"/>
            <w:r w:rsidRPr="00AD5FDE">
              <w:rPr>
                <w:rFonts w:ascii="Calibri" w:eastAsia="Times New Roman" w:hAnsi="Calibri" w:cs="Calibri"/>
                <w:color w:val="000000"/>
                <w:sz w:val="18"/>
                <w:szCs w:val="18"/>
                <w:lang w:eastAsia="fr-FR"/>
              </w:rPr>
              <w:t xml:space="preserve"> Low Duration</w:t>
            </w:r>
          </w:p>
        </w:tc>
        <w:tc>
          <w:tcPr>
            <w:tcW w:w="561" w:type="dxa"/>
            <w:tcBorders>
              <w:top w:val="nil"/>
              <w:left w:val="nil"/>
              <w:bottom w:val="single" w:sz="4" w:space="0" w:color="auto"/>
              <w:right w:val="single" w:sz="4" w:space="0" w:color="auto"/>
            </w:tcBorders>
            <w:shd w:val="clear" w:color="auto" w:fill="auto"/>
            <w:noWrap/>
            <w:vAlign w:val="bottom"/>
            <w:hideMark/>
          </w:tcPr>
          <w:p w14:paraId="03D53B6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26537D56" w14:textId="77777777" w:rsidR="00AD5FDE" w:rsidRPr="00AD5FDE" w:rsidRDefault="00AD5FDE" w:rsidP="00AD5FDE">
            <w:pPr>
              <w:spacing w:after="0" w:line="240" w:lineRule="auto"/>
              <w:rPr>
                <w:rFonts w:ascii="Calibri" w:eastAsia="Times New Roman" w:hAnsi="Calibri" w:cs="Calibri"/>
                <w:i/>
                <w:iCs/>
                <w:color w:val="000000"/>
                <w:sz w:val="18"/>
                <w:szCs w:val="18"/>
                <w:lang w:eastAsia="fr-FR"/>
              </w:rPr>
            </w:pPr>
            <w:r w:rsidRPr="00AD5FDE">
              <w:rPr>
                <w:rFonts w:ascii="Calibri" w:eastAsia="Times New Roman" w:hAnsi="Calibri" w:cs="Calibri"/>
                <w:i/>
                <w:iCs/>
                <w:color w:val="000000"/>
                <w:sz w:val="18"/>
                <w:szCs w:val="18"/>
                <w:lang w:eastAsia="fr-FR"/>
              </w:rPr>
              <w:t xml:space="preserve">           614 160,00 € </w:t>
            </w:r>
          </w:p>
        </w:tc>
      </w:tr>
      <w:tr w:rsidR="00AD5FDE" w:rsidRPr="00AD5FDE" w14:paraId="5B027DE9"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F93703D"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27/09/2019</w:t>
            </w:r>
          </w:p>
        </w:tc>
        <w:tc>
          <w:tcPr>
            <w:tcW w:w="2720" w:type="dxa"/>
            <w:tcBorders>
              <w:top w:val="nil"/>
              <w:left w:val="nil"/>
              <w:bottom w:val="single" w:sz="4" w:space="0" w:color="auto"/>
              <w:right w:val="single" w:sz="4" w:space="0" w:color="auto"/>
            </w:tcBorders>
            <w:shd w:val="clear" w:color="auto" w:fill="auto"/>
            <w:noWrap/>
            <w:vAlign w:val="bottom"/>
            <w:hideMark/>
          </w:tcPr>
          <w:p w14:paraId="1645A0D1"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proofErr w:type="spellStart"/>
            <w:r w:rsidRPr="00AD5FDE">
              <w:rPr>
                <w:rFonts w:ascii="Calibri" w:eastAsia="Times New Roman" w:hAnsi="Calibri" w:cs="Calibri"/>
                <w:color w:val="000000"/>
                <w:sz w:val="18"/>
                <w:szCs w:val="18"/>
                <w:lang w:eastAsia="fr-FR"/>
              </w:rPr>
              <w:t>Ostrum</w:t>
            </w:r>
            <w:proofErr w:type="spellEnd"/>
            <w:r w:rsidRPr="00AD5FDE">
              <w:rPr>
                <w:rFonts w:ascii="Calibri" w:eastAsia="Times New Roman" w:hAnsi="Calibri" w:cs="Calibri"/>
                <w:color w:val="000000"/>
                <w:sz w:val="18"/>
                <w:szCs w:val="18"/>
                <w:lang w:eastAsia="fr-FR"/>
              </w:rPr>
              <w:t xml:space="preserve"> Euro ABS IG</w:t>
            </w:r>
          </w:p>
        </w:tc>
        <w:tc>
          <w:tcPr>
            <w:tcW w:w="561" w:type="dxa"/>
            <w:tcBorders>
              <w:top w:val="nil"/>
              <w:left w:val="nil"/>
              <w:bottom w:val="single" w:sz="4" w:space="0" w:color="auto"/>
              <w:right w:val="single" w:sz="4" w:space="0" w:color="auto"/>
            </w:tcBorders>
            <w:shd w:val="clear" w:color="auto" w:fill="auto"/>
            <w:noWrap/>
            <w:vAlign w:val="bottom"/>
            <w:hideMark/>
          </w:tcPr>
          <w:p w14:paraId="08371E7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45975E1E" w14:textId="77777777" w:rsidR="00AD5FDE" w:rsidRPr="00AD5FDE" w:rsidRDefault="00AD5FDE" w:rsidP="00AD5FDE">
            <w:pPr>
              <w:spacing w:after="0" w:line="240" w:lineRule="auto"/>
              <w:rPr>
                <w:rFonts w:ascii="Calibri" w:eastAsia="Times New Roman" w:hAnsi="Calibri" w:cs="Calibri"/>
                <w:i/>
                <w:iCs/>
                <w:color w:val="000000"/>
                <w:sz w:val="18"/>
                <w:szCs w:val="18"/>
                <w:lang w:eastAsia="fr-FR"/>
              </w:rPr>
            </w:pPr>
            <w:r w:rsidRPr="00AD5FDE">
              <w:rPr>
                <w:rFonts w:ascii="Calibri" w:eastAsia="Times New Roman" w:hAnsi="Calibri" w:cs="Calibri"/>
                <w:i/>
                <w:iCs/>
                <w:color w:val="000000"/>
                <w:sz w:val="18"/>
                <w:szCs w:val="18"/>
                <w:lang w:eastAsia="fr-FR"/>
              </w:rPr>
              <w:t xml:space="preserve">           515 375,00 € </w:t>
            </w:r>
          </w:p>
        </w:tc>
      </w:tr>
      <w:tr w:rsidR="00AD5FDE" w:rsidRPr="00AD5FDE" w14:paraId="78CF3601"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9A54BC2" w14:textId="77777777" w:rsidR="00AD5FDE" w:rsidRPr="00AD5FDE" w:rsidRDefault="00AD5FDE" w:rsidP="00AD5FDE">
            <w:pPr>
              <w:spacing w:after="0" w:line="240" w:lineRule="auto"/>
              <w:ind w:left="47" w:firstLine="20"/>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16/10/2019</w:t>
            </w:r>
          </w:p>
        </w:tc>
        <w:tc>
          <w:tcPr>
            <w:tcW w:w="2720" w:type="dxa"/>
            <w:tcBorders>
              <w:top w:val="nil"/>
              <w:left w:val="nil"/>
              <w:bottom w:val="single" w:sz="4" w:space="0" w:color="auto"/>
              <w:right w:val="single" w:sz="4" w:space="0" w:color="auto"/>
            </w:tcBorders>
            <w:shd w:val="clear" w:color="auto" w:fill="auto"/>
            <w:noWrap/>
            <w:vAlign w:val="bottom"/>
            <w:hideMark/>
          </w:tcPr>
          <w:p w14:paraId="25580B79"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Palatine SEM Optimum</w:t>
            </w:r>
          </w:p>
        </w:tc>
        <w:tc>
          <w:tcPr>
            <w:tcW w:w="561" w:type="dxa"/>
            <w:tcBorders>
              <w:top w:val="nil"/>
              <w:left w:val="nil"/>
              <w:bottom w:val="single" w:sz="4" w:space="0" w:color="auto"/>
              <w:right w:val="single" w:sz="4" w:space="0" w:color="auto"/>
            </w:tcBorders>
            <w:shd w:val="clear" w:color="auto" w:fill="auto"/>
            <w:noWrap/>
            <w:vAlign w:val="bottom"/>
            <w:hideMark/>
          </w:tcPr>
          <w:p w14:paraId="3DBCEB10" w14:textId="77777777" w:rsidR="00AD5FDE" w:rsidRPr="00AD5FDE" w:rsidRDefault="00AD5FDE" w:rsidP="00AD5FDE">
            <w:pPr>
              <w:spacing w:after="0" w:line="240" w:lineRule="auto"/>
              <w:jc w:val="center"/>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139290F1"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1 002 640,00 € </w:t>
            </w:r>
          </w:p>
        </w:tc>
      </w:tr>
      <w:tr w:rsidR="00AD5FDE" w:rsidRPr="00AD5FDE" w14:paraId="41928855"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057B701"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25/10/2019</w:t>
            </w:r>
          </w:p>
        </w:tc>
        <w:tc>
          <w:tcPr>
            <w:tcW w:w="2720" w:type="dxa"/>
            <w:tcBorders>
              <w:top w:val="nil"/>
              <w:left w:val="nil"/>
              <w:bottom w:val="single" w:sz="4" w:space="0" w:color="auto"/>
              <w:right w:val="single" w:sz="4" w:space="0" w:color="auto"/>
            </w:tcBorders>
            <w:shd w:val="clear" w:color="auto" w:fill="auto"/>
            <w:noWrap/>
            <w:vAlign w:val="bottom"/>
            <w:hideMark/>
          </w:tcPr>
          <w:p w14:paraId="001477E9"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Palatine SEM Optimum</w:t>
            </w:r>
          </w:p>
        </w:tc>
        <w:tc>
          <w:tcPr>
            <w:tcW w:w="561" w:type="dxa"/>
            <w:tcBorders>
              <w:top w:val="nil"/>
              <w:left w:val="nil"/>
              <w:bottom w:val="single" w:sz="4" w:space="0" w:color="auto"/>
              <w:right w:val="single" w:sz="4" w:space="0" w:color="auto"/>
            </w:tcBorders>
            <w:shd w:val="clear" w:color="auto" w:fill="auto"/>
            <w:noWrap/>
            <w:vAlign w:val="bottom"/>
            <w:hideMark/>
          </w:tcPr>
          <w:p w14:paraId="2C48D141"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00907985"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664 779,50 € </w:t>
            </w:r>
          </w:p>
        </w:tc>
      </w:tr>
      <w:tr w:rsidR="00AD5FDE" w:rsidRPr="00AD5FDE" w14:paraId="254C2118"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D84F461"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01/11/2019</w:t>
            </w:r>
          </w:p>
        </w:tc>
        <w:tc>
          <w:tcPr>
            <w:tcW w:w="2720" w:type="dxa"/>
            <w:tcBorders>
              <w:top w:val="nil"/>
              <w:left w:val="nil"/>
              <w:bottom w:val="single" w:sz="4" w:space="0" w:color="auto"/>
              <w:right w:val="single" w:sz="4" w:space="0" w:color="auto"/>
            </w:tcBorders>
            <w:shd w:val="clear" w:color="auto" w:fill="auto"/>
            <w:noWrap/>
            <w:vAlign w:val="bottom"/>
            <w:hideMark/>
          </w:tcPr>
          <w:p w14:paraId="60A007D3"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Muzinich</w:t>
            </w:r>
            <w:proofErr w:type="spellEnd"/>
            <w:r w:rsidRPr="00AD5FDE">
              <w:rPr>
                <w:rFonts w:ascii="Calibri" w:eastAsia="Times New Roman" w:hAnsi="Calibri" w:cs="Calibri"/>
                <w:sz w:val="18"/>
                <w:szCs w:val="18"/>
                <w:lang w:eastAsia="fr-FR"/>
              </w:rPr>
              <w:t xml:space="preserve"> Long Short </w:t>
            </w:r>
            <w:proofErr w:type="spellStart"/>
            <w:r w:rsidRPr="00AD5FDE">
              <w:rPr>
                <w:rFonts w:ascii="Calibri" w:eastAsia="Times New Roman" w:hAnsi="Calibri" w:cs="Calibri"/>
                <w:sz w:val="18"/>
                <w:szCs w:val="18"/>
                <w:lang w:eastAsia="fr-FR"/>
              </w:rPr>
              <w:t>Credit</w:t>
            </w:r>
            <w:proofErr w:type="spellEnd"/>
          </w:p>
        </w:tc>
        <w:tc>
          <w:tcPr>
            <w:tcW w:w="561" w:type="dxa"/>
            <w:tcBorders>
              <w:top w:val="nil"/>
              <w:left w:val="nil"/>
              <w:bottom w:val="single" w:sz="4" w:space="0" w:color="auto"/>
              <w:right w:val="single" w:sz="4" w:space="0" w:color="auto"/>
            </w:tcBorders>
            <w:shd w:val="clear" w:color="auto" w:fill="auto"/>
            <w:noWrap/>
            <w:vAlign w:val="bottom"/>
            <w:hideMark/>
          </w:tcPr>
          <w:p w14:paraId="76591AA4"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360027C"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339 066,00 € </w:t>
            </w:r>
          </w:p>
        </w:tc>
      </w:tr>
      <w:tr w:rsidR="00AD5FDE" w:rsidRPr="00AD5FDE" w14:paraId="44EC9EA6"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49E6B95"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20/11/2019</w:t>
            </w:r>
          </w:p>
        </w:tc>
        <w:tc>
          <w:tcPr>
            <w:tcW w:w="2720" w:type="dxa"/>
            <w:tcBorders>
              <w:top w:val="nil"/>
              <w:left w:val="nil"/>
              <w:bottom w:val="single" w:sz="4" w:space="0" w:color="auto"/>
              <w:right w:val="single" w:sz="4" w:space="0" w:color="auto"/>
            </w:tcBorders>
            <w:shd w:val="clear" w:color="auto" w:fill="auto"/>
            <w:noWrap/>
            <w:vAlign w:val="bottom"/>
            <w:hideMark/>
          </w:tcPr>
          <w:p w14:paraId="7C923979"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Evli</w:t>
            </w:r>
            <w:proofErr w:type="spellEnd"/>
            <w:r w:rsidRPr="00AD5FDE">
              <w:rPr>
                <w:rFonts w:ascii="Calibri" w:eastAsia="Times New Roman" w:hAnsi="Calibri" w:cs="Calibri"/>
                <w:sz w:val="18"/>
                <w:szCs w:val="18"/>
                <w:lang w:eastAsia="fr-FR"/>
              </w:rPr>
              <w:t xml:space="preserve"> Nordic </w:t>
            </w:r>
          </w:p>
        </w:tc>
        <w:tc>
          <w:tcPr>
            <w:tcW w:w="561" w:type="dxa"/>
            <w:tcBorders>
              <w:top w:val="nil"/>
              <w:left w:val="nil"/>
              <w:bottom w:val="single" w:sz="4" w:space="0" w:color="auto"/>
              <w:right w:val="single" w:sz="4" w:space="0" w:color="auto"/>
            </w:tcBorders>
            <w:shd w:val="clear" w:color="auto" w:fill="auto"/>
            <w:noWrap/>
            <w:vAlign w:val="bottom"/>
            <w:hideMark/>
          </w:tcPr>
          <w:p w14:paraId="10B3CB06"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C806697"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345 000,00 € </w:t>
            </w:r>
          </w:p>
        </w:tc>
      </w:tr>
      <w:tr w:rsidR="00AD5FDE" w:rsidRPr="00AD5FDE" w14:paraId="58BFCD61"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48F2072"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21/11/2019</w:t>
            </w:r>
          </w:p>
        </w:tc>
        <w:tc>
          <w:tcPr>
            <w:tcW w:w="2720" w:type="dxa"/>
            <w:tcBorders>
              <w:top w:val="nil"/>
              <w:left w:val="nil"/>
              <w:bottom w:val="single" w:sz="4" w:space="0" w:color="auto"/>
              <w:right w:val="single" w:sz="4" w:space="0" w:color="auto"/>
            </w:tcBorders>
            <w:shd w:val="clear" w:color="auto" w:fill="auto"/>
            <w:noWrap/>
            <w:vAlign w:val="bottom"/>
            <w:hideMark/>
          </w:tcPr>
          <w:p w14:paraId="41DC7C99"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Helium</w:t>
            </w:r>
            <w:proofErr w:type="spellEnd"/>
            <w:r w:rsidRPr="00AD5FDE">
              <w:rPr>
                <w:rFonts w:ascii="Calibri" w:eastAsia="Times New Roman" w:hAnsi="Calibri" w:cs="Calibri"/>
                <w:sz w:val="18"/>
                <w:szCs w:val="18"/>
                <w:lang w:eastAsia="fr-FR"/>
              </w:rPr>
              <w:t xml:space="preserve"> Invest Part S</w:t>
            </w:r>
          </w:p>
        </w:tc>
        <w:tc>
          <w:tcPr>
            <w:tcW w:w="561" w:type="dxa"/>
            <w:tcBorders>
              <w:top w:val="nil"/>
              <w:left w:val="nil"/>
              <w:bottom w:val="single" w:sz="4" w:space="0" w:color="auto"/>
              <w:right w:val="single" w:sz="4" w:space="0" w:color="auto"/>
            </w:tcBorders>
            <w:shd w:val="clear" w:color="auto" w:fill="auto"/>
            <w:noWrap/>
            <w:vAlign w:val="bottom"/>
            <w:hideMark/>
          </w:tcPr>
          <w:p w14:paraId="42A4C27D"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45C60522"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308 232,90 € </w:t>
            </w:r>
          </w:p>
        </w:tc>
      </w:tr>
      <w:tr w:rsidR="00AD5FDE" w:rsidRPr="00AD5FDE" w14:paraId="6CDD30A4"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136EEE2"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28/11/2019</w:t>
            </w:r>
          </w:p>
        </w:tc>
        <w:tc>
          <w:tcPr>
            <w:tcW w:w="2720" w:type="dxa"/>
            <w:tcBorders>
              <w:top w:val="nil"/>
              <w:left w:val="nil"/>
              <w:bottom w:val="single" w:sz="4" w:space="0" w:color="auto"/>
              <w:right w:val="single" w:sz="4" w:space="0" w:color="auto"/>
            </w:tcBorders>
            <w:shd w:val="clear" w:color="auto" w:fill="auto"/>
            <w:noWrap/>
            <w:vAlign w:val="bottom"/>
            <w:hideMark/>
          </w:tcPr>
          <w:p w14:paraId="43773C7A"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Montlake</w:t>
            </w:r>
            <w:proofErr w:type="spellEnd"/>
            <w:r w:rsidRPr="00AD5FDE">
              <w:rPr>
                <w:rFonts w:ascii="Calibri" w:eastAsia="Times New Roman" w:hAnsi="Calibri" w:cs="Calibri"/>
                <w:sz w:val="18"/>
                <w:szCs w:val="18"/>
                <w:lang w:eastAsia="fr-FR"/>
              </w:rPr>
              <w:t xml:space="preserve"> Mygale </w:t>
            </w:r>
          </w:p>
        </w:tc>
        <w:tc>
          <w:tcPr>
            <w:tcW w:w="561" w:type="dxa"/>
            <w:tcBorders>
              <w:top w:val="nil"/>
              <w:left w:val="nil"/>
              <w:bottom w:val="single" w:sz="4" w:space="0" w:color="auto"/>
              <w:right w:val="single" w:sz="4" w:space="0" w:color="auto"/>
            </w:tcBorders>
            <w:shd w:val="clear" w:color="auto" w:fill="auto"/>
            <w:noWrap/>
            <w:vAlign w:val="bottom"/>
            <w:hideMark/>
          </w:tcPr>
          <w:p w14:paraId="5057EF22"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587DCAE2"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498 565,02 € </w:t>
            </w:r>
          </w:p>
        </w:tc>
      </w:tr>
      <w:tr w:rsidR="00AD5FDE" w:rsidRPr="00AD5FDE" w14:paraId="7A83DFDC"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C9FFD09"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06/12/2019</w:t>
            </w:r>
          </w:p>
        </w:tc>
        <w:tc>
          <w:tcPr>
            <w:tcW w:w="2720" w:type="dxa"/>
            <w:tcBorders>
              <w:top w:val="nil"/>
              <w:left w:val="nil"/>
              <w:bottom w:val="single" w:sz="4" w:space="0" w:color="auto"/>
              <w:right w:val="single" w:sz="4" w:space="0" w:color="auto"/>
            </w:tcBorders>
            <w:shd w:val="clear" w:color="auto" w:fill="auto"/>
            <w:noWrap/>
            <w:vAlign w:val="bottom"/>
            <w:hideMark/>
          </w:tcPr>
          <w:p w14:paraId="20BB2D0B"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Quantology</w:t>
            </w:r>
            <w:proofErr w:type="spellEnd"/>
            <w:r w:rsidRPr="00AD5FDE">
              <w:rPr>
                <w:rFonts w:ascii="Calibri" w:eastAsia="Times New Roman" w:hAnsi="Calibri" w:cs="Calibri"/>
                <w:sz w:val="18"/>
                <w:szCs w:val="18"/>
                <w:lang w:eastAsia="fr-FR"/>
              </w:rPr>
              <w:t xml:space="preserve">  Smart I</w:t>
            </w:r>
          </w:p>
        </w:tc>
        <w:tc>
          <w:tcPr>
            <w:tcW w:w="561" w:type="dxa"/>
            <w:tcBorders>
              <w:top w:val="nil"/>
              <w:left w:val="nil"/>
              <w:bottom w:val="single" w:sz="4" w:space="0" w:color="auto"/>
              <w:right w:val="single" w:sz="4" w:space="0" w:color="auto"/>
            </w:tcBorders>
            <w:shd w:val="clear" w:color="auto" w:fill="auto"/>
            <w:noWrap/>
            <w:vAlign w:val="bottom"/>
            <w:hideMark/>
          </w:tcPr>
          <w:p w14:paraId="47BBD2B1"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V</w:t>
            </w:r>
          </w:p>
        </w:tc>
        <w:tc>
          <w:tcPr>
            <w:tcW w:w="1466" w:type="dxa"/>
            <w:tcBorders>
              <w:top w:val="nil"/>
              <w:left w:val="nil"/>
              <w:bottom w:val="single" w:sz="4" w:space="0" w:color="auto"/>
              <w:right w:val="single" w:sz="4" w:space="0" w:color="auto"/>
            </w:tcBorders>
            <w:shd w:val="clear" w:color="auto" w:fill="auto"/>
            <w:noWrap/>
            <w:vAlign w:val="bottom"/>
            <w:hideMark/>
          </w:tcPr>
          <w:p w14:paraId="0B8EA606"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315 166,77 € </w:t>
            </w:r>
          </w:p>
        </w:tc>
      </w:tr>
      <w:tr w:rsidR="00AD5FDE" w:rsidRPr="00AD5FDE" w14:paraId="60D63DAB"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02FF727" w14:textId="77777777" w:rsidR="00AD5FDE" w:rsidRPr="00AD5FDE" w:rsidRDefault="00AD5FDE" w:rsidP="00AD5FDE">
            <w:pPr>
              <w:spacing w:after="0" w:line="240" w:lineRule="auto"/>
              <w:ind w:left="47" w:firstLine="20"/>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19/12/2019</w:t>
            </w:r>
          </w:p>
        </w:tc>
        <w:tc>
          <w:tcPr>
            <w:tcW w:w="2720" w:type="dxa"/>
            <w:tcBorders>
              <w:top w:val="nil"/>
              <w:left w:val="nil"/>
              <w:bottom w:val="single" w:sz="4" w:space="0" w:color="auto"/>
              <w:right w:val="single" w:sz="4" w:space="0" w:color="auto"/>
            </w:tcBorders>
            <w:shd w:val="clear" w:color="auto" w:fill="auto"/>
            <w:noWrap/>
            <w:vAlign w:val="bottom"/>
            <w:hideMark/>
          </w:tcPr>
          <w:p w14:paraId="3B29734D"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Helium</w:t>
            </w:r>
            <w:proofErr w:type="spellEnd"/>
            <w:r w:rsidRPr="00AD5FDE">
              <w:rPr>
                <w:rFonts w:ascii="Calibri" w:eastAsia="Times New Roman" w:hAnsi="Calibri" w:cs="Calibri"/>
                <w:sz w:val="18"/>
                <w:szCs w:val="18"/>
                <w:lang w:eastAsia="fr-FR"/>
              </w:rPr>
              <w:t xml:space="preserve"> Invest Part S</w:t>
            </w:r>
          </w:p>
        </w:tc>
        <w:tc>
          <w:tcPr>
            <w:tcW w:w="561" w:type="dxa"/>
            <w:tcBorders>
              <w:top w:val="nil"/>
              <w:left w:val="nil"/>
              <w:bottom w:val="single" w:sz="4" w:space="0" w:color="auto"/>
              <w:right w:val="single" w:sz="4" w:space="0" w:color="auto"/>
            </w:tcBorders>
            <w:shd w:val="clear" w:color="auto" w:fill="auto"/>
            <w:noWrap/>
            <w:vAlign w:val="bottom"/>
            <w:hideMark/>
          </w:tcPr>
          <w:p w14:paraId="40392C89"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6C6E5C42" w14:textId="77777777" w:rsidR="00AD5FDE" w:rsidRPr="00AD5FDE" w:rsidRDefault="00AD5FDE" w:rsidP="00AD5FDE">
            <w:pPr>
              <w:spacing w:after="0" w:line="240" w:lineRule="auto"/>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 xml:space="preserve">            364 477,40 € </w:t>
            </w:r>
          </w:p>
        </w:tc>
      </w:tr>
      <w:tr w:rsidR="00AD5FDE" w:rsidRPr="00AD5FDE" w14:paraId="393F69B3" w14:textId="77777777" w:rsidTr="00AD5FDE">
        <w:trPr>
          <w:trHeight w:val="288"/>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608C654" w14:textId="77777777" w:rsidR="00AD5FDE" w:rsidRPr="00AD5FDE" w:rsidRDefault="00AD5FDE" w:rsidP="00AD5FDE">
            <w:pPr>
              <w:spacing w:after="0" w:line="240" w:lineRule="auto"/>
              <w:ind w:left="68" w:hanging="1"/>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23/12/2019</w:t>
            </w:r>
          </w:p>
        </w:tc>
        <w:tc>
          <w:tcPr>
            <w:tcW w:w="2720" w:type="dxa"/>
            <w:tcBorders>
              <w:top w:val="nil"/>
              <w:left w:val="nil"/>
              <w:bottom w:val="single" w:sz="4" w:space="0" w:color="auto"/>
              <w:right w:val="single" w:sz="4" w:space="0" w:color="auto"/>
            </w:tcBorders>
            <w:shd w:val="clear" w:color="auto" w:fill="auto"/>
            <w:noWrap/>
            <w:vAlign w:val="bottom"/>
            <w:hideMark/>
          </w:tcPr>
          <w:p w14:paraId="69AD4BFF" w14:textId="77777777" w:rsidR="00AD5FDE" w:rsidRPr="00AD5FDE" w:rsidRDefault="00AD5FDE" w:rsidP="00AD5FDE">
            <w:pPr>
              <w:spacing w:after="0" w:line="240" w:lineRule="auto"/>
              <w:rPr>
                <w:rFonts w:ascii="Calibri" w:eastAsia="Times New Roman" w:hAnsi="Calibri" w:cs="Calibri"/>
                <w:sz w:val="18"/>
                <w:szCs w:val="18"/>
                <w:lang w:eastAsia="fr-FR"/>
              </w:rPr>
            </w:pPr>
            <w:proofErr w:type="spellStart"/>
            <w:r w:rsidRPr="00AD5FDE">
              <w:rPr>
                <w:rFonts w:ascii="Calibri" w:eastAsia="Times New Roman" w:hAnsi="Calibri" w:cs="Calibri"/>
                <w:sz w:val="18"/>
                <w:szCs w:val="18"/>
                <w:lang w:eastAsia="fr-FR"/>
              </w:rPr>
              <w:t>Evli</w:t>
            </w:r>
            <w:proofErr w:type="spellEnd"/>
            <w:r w:rsidRPr="00AD5FDE">
              <w:rPr>
                <w:rFonts w:ascii="Calibri" w:eastAsia="Times New Roman" w:hAnsi="Calibri" w:cs="Calibri"/>
                <w:sz w:val="18"/>
                <w:szCs w:val="18"/>
                <w:lang w:eastAsia="fr-FR"/>
              </w:rPr>
              <w:t xml:space="preserve"> Nordic </w:t>
            </w:r>
          </w:p>
        </w:tc>
        <w:tc>
          <w:tcPr>
            <w:tcW w:w="561" w:type="dxa"/>
            <w:tcBorders>
              <w:top w:val="nil"/>
              <w:left w:val="nil"/>
              <w:bottom w:val="single" w:sz="4" w:space="0" w:color="auto"/>
              <w:right w:val="single" w:sz="4" w:space="0" w:color="auto"/>
            </w:tcBorders>
            <w:shd w:val="clear" w:color="auto" w:fill="auto"/>
            <w:noWrap/>
            <w:vAlign w:val="bottom"/>
            <w:hideMark/>
          </w:tcPr>
          <w:p w14:paraId="38495A6B" w14:textId="77777777" w:rsidR="00AD5FDE" w:rsidRPr="00AD5FDE" w:rsidRDefault="00AD5FDE" w:rsidP="00AD5FDE">
            <w:pPr>
              <w:spacing w:after="0" w:line="240" w:lineRule="auto"/>
              <w:jc w:val="center"/>
              <w:rPr>
                <w:rFonts w:ascii="Calibri" w:eastAsia="Times New Roman" w:hAnsi="Calibri" w:cs="Calibri"/>
                <w:sz w:val="18"/>
                <w:szCs w:val="18"/>
                <w:lang w:eastAsia="fr-FR"/>
              </w:rPr>
            </w:pPr>
            <w:r w:rsidRPr="00AD5FDE">
              <w:rPr>
                <w:rFonts w:ascii="Calibri" w:eastAsia="Times New Roman" w:hAnsi="Calibri" w:cs="Calibri"/>
                <w:sz w:val="18"/>
                <w:szCs w:val="18"/>
                <w:lang w:eastAsia="fr-FR"/>
              </w:rPr>
              <w:t>A</w:t>
            </w:r>
          </w:p>
        </w:tc>
        <w:tc>
          <w:tcPr>
            <w:tcW w:w="1466" w:type="dxa"/>
            <w:tcBorders>
              <w:top w:val="nil"/>
              <w:left w:val="nil"/>
              <w:bottom w:val="single" w:sz="4" w:space="0" w:color="auto"/>
              <w:right w:val="single" w:sz="4" w:space="0" w:color="auto"/>
            </w:tcBorders>
            <w:shd w:val="clear" w:color="auto" w:fill="auto"/>
            <w:noWrap/>
            <w:vAlign w:val="bottom"/>
            <w:hideMark/>
          </w:tcPr>
          <w:p w14:paraId="711E7A1C" w14:textId="77777777" w:rsidR="00AD5FDE" w:rsidRPr="00AD5FDE" w:rsidRDefault="00AD5FDE" w:rsidP="00AD5FDE">
            <w:pPr>
              <w:spacing w:after="0" w:line="240" w:lineRule="auto"/>
              <w:rPr>
                <w:rFonts w:ascii="Calibri" w:eastAsia="Times New Roman" w:hAnsi="Calibri" w:cs="Calibri"/>
                <w:color w:val="000000"/>
                <w:sz w:val="18"/>
                <w:szCs w:val="18"/>
                <w:lang w:eastAsia="fr-FR"/>
              </w:rPr>
            </w:pPr>
            <w:r w:rsidRPr="00AD5FDE">
              <w:rPr>
                <w:rFonts w:ascii="Calibri" w:eastAsia="Times New Roman" w:hAnsi="Calibri" w:cs="Calibri"/>
                <w:color w:val="000000"/>
                <w:sz w:val="18"/>
                <w:szCs w:val="18"/>
                <w:lang w:eastAsia="fr-FR"/>
              </w:rPr>
              <w:t xml:space="preserve">        1 000 000,00 € </w:t>
            </w:r>
          </w:p>
        </w:tc>
      </w:tr>
    </w:tbl>
    <w:p w14:paraId="6A54CAAE" w14:textId="77777777" w:rsidR="005504EE" w:rsidRPr="00992534" w:rsidRDefault="005504EE" w:rsidP="00217BD2">
      <w:pPr>
        <w:spacing w:line="240" w:lineRule="auto"/>
        <w:jc w:val="both"/>
        <w:rPr>
          <w:sz w:val="2"/>
          <w:szCs w:val="2"/>
        </w:rPr>
      </w:pPr>
    </w:p>
    <w:p w14:paraId="5D64498B" w14:textId="77777777" w:rsidR="00A960AE" w:rsidRDefault="00A24870" w:rsidP="00A960AE">
      <w:pPr>
        <w:spacing w:line="240" w:lineRule="auto"/>
        <w:ind w:left="1361"/>
        <w:jc w:val="both"/>
      </w:pPr>
      <w:r w:rsidRPr="00A24870">
        <w:rPr>
          <w:sz w:val="24"/>
          <w:szCs w:val="24"/>
        </w:rPr>
        <w:tab/>
      </w:r>
      <w:r w:rsidR="001035C4">
        <w:rPr>
          <w:sz w:val="24"/>
          <w:szCs w:val="24"/>
        </w:rPr>
        <w:t xml:space="preserve">    </w:t>
      </w:r>
      <w:r w:rsidRPr="001035C4">
        <w:t xml:space="preserve">Mouvements sur les actions : </w:t>
      </w:r>
    </w:p>
    <w:tbl>
      <w:tblPr>
        <w:tblW w:w="6488" w:type="dxa"/>
        <w:tblInd w:w="1351" w:type="dxa"/>
        <w:tblCellMar>
          <w:left w:w="70" w:type="dxa"/>
          <w:right w:w="70" w:type="dxa"/>
        </w:tblCellMar>
        <w:tblLook w:val="04A0" w:firstRow="1" w:lastRow="0" w:firstColumn="1" w:lastColumn="0" w:noHBand="0" w:noVBand="1"/>
      </w:tblPr>
      <w:tblGrid>
        <w:gridCol w:w="1240"/>
        <w:gridCol w:w="1480"/>
        <w:gridCol w:w="517"/>
        <w:gridCol w:w="1077"/>
        <w:gridCol w:w="1251"/>
        <w:gridCol w:w="923"/>
      </w:tblGrid>
      <w:tr w:rsidR="00A960AE" w:rsidRPr="00A960AE" w14:paraId="498A8CB3" w14:textId="77777777" w:rsidTr="004865FE">
        <w:trPr>
          <w:trHeight w:val="288"/>
        </w:trPr>
        <w:tc>
          <w:tcPr>
            <w:tcW w:w="1240" w:type="dxa"/>
            <w:tcBorders>
              <w:top w:val="single" w:sz="4" w:space="0" w:color="auto"/>
              <w:left w:val="single" w:sz="4" w:space="0" w:color="auto"/>
              <w:bottom w:val="single" w:sz="4" w:space="0" w:color="auto"/>
              <w:right w:val="nil"/>
            </w:tcBorders>
            <w:shd w:val="clear" w:color="000000" w:fill="FFFFFF"/>
            <w:noWrap/>
            <w:vAlign w:val="center"/>
            <w:hideMark/>
          </w:tcPr>
          <w:p w14:paraId="6B66435E"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DATE</w:t>
            </w:r>
          </w:p>
        </w:tc>
        <w:tc>
          <w:tcPr>
            <w:tcW w:w="1480" w:type="dxa"/>
            <w:tcBorders>
              <w:top w:val="single" w:sz="4" w:space="0" w:color="auto"/>
              <w:left w:val="nil"/>
              <w:bottom w:val="single" w:sz="4" w:space="0" w:color="auto"/>
              <w:right w:val="nil"/>
            </w:tcBorders>
            <w:shd w:val="clear" w:color="000000" w:fill="FFFFFF"/>
            <w:noWrap/>
            <w:vAlign w:val="center"/>
            <w:hideMark/>
          </w:tcPr>
          <w:p w14:paraId="4D33603D"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VALEUR</w:t>
            </w:r>
          </w:p>
        </w:tc>
        <w:tc>
          <w:tcPr>
            <w:tcW w:w="517" w:type="dxa"/>
            <w:tcBorders>
              <w:top w:val="single" w:sz="4" w:space="0" w:color="auto"/>
              <w:left w:val="nil"/>
              <w:bottom w:val="single" w:sz="4" w:space="0" w:color="auto"/>
              <w:right w:val="nil"/>
            </w:tcBorders>
            <w:shd w:val="clear" w:color="000000" w:fill="FFFFFF"/>
            <w:noWrap/>
            <w:vAlign w:val="center"/>
            <w:hideMark/>
          </w:tcPr>
          <w:p w14:paraId="46FFDE00"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SENS</w:t>
            </w:r>
          </w:p>
        </w:tc>
        <w:tc>
          <w:tcPr>
            <w:tcW w:w="1077" w:type="dxa"/>
            <w:tcBorders>
              <w:top w:val="single" w:sz="4" w:space="0" w:color="auto"/>
              <w:left w:val="nil"/>
              <w:bottom w:val="single" w:sz="4" w:space="0" w:color="auto"/>
              <w:right w:val="single" w:sz="4" w:space="0" w:color="auto"/>
            </w:tcBorders>
            <w:shd w:val="clear" w:color="000000" w:fill="FFFFFF"/>
            <w:noWrap/>
            <w:vAlign w:val="center"/>
            <w:hideMark/>
          </w:tcPr>
          <w:p w14:paraId="60F477AC"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MONTANT</w:t>
            </w:r>
          </w:p>
        </w:tc>
        <w:tc>
          <w:tcPr>
            <w:tcW w:w="1251" w:type="dxa"/>
            <w:tcBorders>
              <w:top w:val="single" w:sz="4" w:space="0" w:color="auto"/>
              <w:left w:val="nil"/>
              <w:bottom w:val="single" w:sz="4" w:space="0" w:color="auto"/>
              <w:right w:val="single" w:sz="4" w:space="0" w:color="auto"/>
            </w:tcBorders>
            <w:shd w:val="clear" w:color="000000" w:fill="FFFFFF"/>
            <w:noWrap/>
            <w:vAlign w:val="center"/>
            <w:hideMark/>
          </w:tcPr>
          <w:p w14:paraId="1D9FDAE0"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ISIN</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14:paraId="189C919A"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QUANTITE</w:t>
            </w:r>
          </w:p>
        </w:tc>
      </w:tr>
      <w:tr w:rsidR="00A960AE" w:rsidRPr="00A960AE" w14:paraId="1E0FE95A"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63447B0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05/03/2019</w:t>
            </w:r>
          </w:p>
        </w:tc>
        <w:tc>
          <w:tcPr>
            <w:tcW w:w="1480" w:type="dxa"/>
            <w:tcBorders>
              <w:top w:val="nil"/>
              <w:left w:val="nil"/>
              <w:bottom w:val="nil"/>
              <w:right w:val="nil"/>
            </w:tcBorders>
            <w:shd w:val="clear" w:color="auto" w:fill="auto"/>
            <w:noWrap/>
            <w:vAlign w:val="center"/>
            <w:hideMark/>
          </w:tcPr>
          <w:p w14:paraId="552FB63F"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center"/>
            <w:hideMark/>
          </w:tcPr>
          <w:p w14:paraId="226F6368"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center"/>
            <w:hideMark/>
          </w:tcPr>
          <w:p w14:paraId="2645626D"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173 527 € </w:t>
            </w:r>
          </w:p>
        </w:tc>
        <w:tc>
          <w:tcPr>
            <w:tcW w:w="1251" w:type="dxa"/>
            <w:tcBorders>
              <w:top w:val="nil"/>
              <w:left w:val="nil"/>
              <w:bottom w:val="nil"/>
              <w:right w:val="single" w:sz="4" w:space="0" w:color="auto"/>
            </w:tcBorders>
            <w:shd w:val="clear" w:color="auto" w:fill="auto"/>
            <w:noWrap/>
            <w:vAlign w:val="bottom"/>
            <w:hideMark/>
          </w:tcPr>
          <w:p w14:paraId="4EDDBAAD"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2B4F58D7"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36 305</w:t>
            </w:r>
          </w:p>
        </w:tc>
      </w:tr>
      <w:tr w:rsidR="00A960AE" w:rsidRPr="00A960AE" w14:paraId="73AFD6B4"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6377F2D7"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16/04/2019</w:t>
            </w:r>
          </w:p>
        </w:tc>
        <w:tc>
          <w:tcPr>
            <w:tcW w:w="1480" w:type="dxa"/>
            <w:tcBorders>
              <w:top w:val="nil"/>
              <w:left w:val="nil"/>
              <w:bottom w:val="nil"/>
              <w:right w:val="nil"/>
            </w:tcBorders>
            <w:shd w:val="clear" w:color="auto" w:fill="auto"/>
            <w:noWrap/>
            <w:vAlign w:val="center"/>
            <w:hideMark/>
          </w:tcPr>
          <w:p w14:paraId="0BAC177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Essilor</w:t>
            </w:r>
          </w:p>
        </w:tc>
        <w:tc>
          <w:tcPr>
            <w:tcW w:w="517" w:type="dxa"/>
            <w:tcBorders>
              <w:top w:val="nil"/>
              <w:left w:val="nil"/>
              <w:bottom w:val="nil"/>
              <w:right w:val="nil"/>
            </w:tcBorders>
            <w:shd w:val="clear" w:color="auto" w:fill="auto"/>
            <w:noWrap/>
            <w:vAlign w:val="center"/>
            <w:hideMark/>
          </w:tcPr>
          <w:p w14:paraId="640C351F"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center"/>
            <w:hideMark/>
          </w:tcPr>
          <w:p w14:paraId="435ED5C1"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154 637 € </w:t>
            </w:r>
          </w:p>
        </w:tc>
        <w:tc>
          <w:tcPr>
            <w:tcW w:w="1251" w:type="dxa"/>
            <w:tcBorders>
              <w:top w:val="nil"/>
              <w:left w:val="nil"/>
              <w:bottom w:val="nil"/>
              <w:right w:val="single" w:sz="4" w:space="0" w:color="auto"/>
            </w:tcBorders>
            <w:shd w:val="clear" w:color="auto" w:fill="auto"/>
            <w:noWrap/>
            <w:vAlign w:val="bottom"/>
            <w:hideMark/>
          </w:tcPr>
          <w:p w14:paraId="283B31BE"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FR0000121667</w:t>
            </w:r>
          </w:p>
        </w:tc>
        <w:tc>
          <w:tcPr>
            <w:tcW w:w="923" w:type="dxa"/>
            <w:tcBorders>
              <w:top w:val="nil"/>
              <w:left w:val="nil"/>
              <w:bottom w:val="nil"/>
              <w:right w:val="single" w:sz="4" w:space="0" w:color="auto"/>
            </w:tcBorders>
            <w:shd w:val="clear" w:color="auto" w:fill="auto"/>
            <w:noWrap/>
            <w:vAlign w:val="bottom"/>
            <w:hideMark/>
          </w:tcPr>
          <w:p w14:paraId="01F01DB2"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1 500</w:t>
            </w:r>
          </w:p>
        </w:tc>
      </w:tr>
      <w:tr w:rsidR="00A960AE" w:rsidRPr="00A960AE" w14:paraId="7048BD75"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3BCCBB9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17/04/2019</w:t>
            </w:r>
          </w:p>
        </w:tc>
        <w:tc>
          <w:tcPr>
            <w:tcW w:w="1480" w:type="dxa"/>
            <w:tcBorders>
              <w:top w:val="nil"/>
              <w:left w:val="nil"/>
              <w:bottom w:val="nil"/>
              <w:right w:val="nil"/>
            </w:tcBorders>
            <w:shd w:val="clear" w:color="auto" w:fill="auto"/>
            <w:noWrap/>
            <w:vAlign w:val="center"/>
            <w:hideMark/>
          </w:tcPr>
          <w:p w14:paraId="3844841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Essilor</w:t>
            </w:r>
          </w:p>
        </w:tc>
        <w:tc>
          <w:tcPr>
            <w:tcW w:w="517" w:type="dxa"/>
            <w:tcBorders>
              <w:top w:val="nil"/>
              <w:left w:val="nil"/>
              <w:bottom w:val="nil"/>
              <w:right w:val="nil"/>
            </w:tcBorders>
            <w:shd w:val="clear" w:color="auto" w:fill="auto"/>
            <w:noWrap/>
            <w:vAlign w:val="center"/>
            <w:hideMark/>
          </w:tcPr>
          <w:p w14:paraId="378D2F97"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center"/>
            <w:hideMark/>
          </w:tcPr>
          <w:p w14:paraId="3E6792A4"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323 070 € </w:t>
            </w:r>
          </w:p>
        </w:tc>
        <w:tc>
          <w:tcPr>
            <w:tcW w:w="1251" w:type="dxa"/>
            <w:tcBorders>
              <w:top w:val="nil"/>
              <w:left w:val="nil"/>
              <w:bottom w:val="nil"/>
              <w:right w:val="single" w:sz="4" w:space="0" w:color="auto"/>
            </w:tcBorders>
            <w:shd w:val="clear" w:color="auto" w:fill="auto"/>
            <w:noWrap/>
            <w:vAlign w:val="bottom"/>
            <w:hideMark/>
          </w:tcPr>
          <w:p w14:paraId="26716ECD"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FR0000121667</w:t>
            </w:r>
          </w:p>
        </w:tc>
        <w:tc>
          <w:tcPr>
            <w:tcW w:w="923" w:type="dxa"/>
            <w:tcBorders>
              <w:top w:val="nil"/>
              <w:left w:val="nil"/>
              <w:bottom w:val="nil"/>
              <w:right w:val="single" w:sz="4" w:space="0" w:color="auto"/>
            </w:tcBorders>
            <w:shd w:val="clear" w:color="auto" w:fill="auto"/>
            <w:noWrap/>
            <w:vAlign w:val="bottom"/>
            <w:hideMark/>
          </w:tcPr>
          <w:p w14:paraId="68B4846A"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3 000</w:t>
            </w:r>
          </w:p>
        </w:tc>
      </w:tr>
      <w:tr w:rsidR="00A960AE" w:rsidRPr="00A960AE" w14:paraId="03EF9429"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31992160"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17/04/2019</w:t>
            </w:r>
          </w:p>
        </w:tc>
        <w:tc>
          <w:tcPr>
            <w:tcW w:w="1480" w:type="dxa"/>
            <w:tcBorders>
              <w:top w:val="nil"/>
              <w:left w:val="nil"/>
              <w:bottom w:val="nil"/>
              <w:right w:val="nil"/>
            </w:tcBorders>
            <w:shd w:val="clear" w:color="auto" w:fill="auto"/>
            <w:noWrap/>
            <w:vAlign w:val="center"/>
            <w:hideMark/>
          </w:tcPr>
          <w:p w14:paraId="5AA21AB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Société Générale</w:t>
            </w:r>
          </w:p>
        </w:tc>
        <w:tc>
          <w:tcPr>
            <w:tcW w:w="517" w:type="dxa"/>
            <w:tcBorders>
              <w:top w:val="nil"/>
              <w:left w:val="nil"/>
              <w:bottom w:val="nil"/>
              <w:right w:val="nil"/>
            </w:tcBorders>
            <w:shd w:val="clear" w:color="auto" w:fill="auto"/>
            <w:noWrap/>
            <w:vAlign w:val="center"/>
            <w:hideMark/>
          </w:tcPr>
          <w:p w14:paraId="17E6E8B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center"/>
            <w:hideMark/>
          </w:tcPr>
          <w:p w14:paraId="1079B9D3"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145 934 € </w:t>
            </w:r>
          </w:p>
        </w:tc>
        <w:tc>
          <w:tcPr>
            <w:tcW w:w="1251" w:type="dxa"/>
            <w:tcBorders>
              <w:top w:val="nil"/>
              <w:left w:val="nil"/>
              <w:bottom w:val="nil"/>
              <w:right w:val="single" w:sz="4" w:space="0" w:color="auto"/>
            </w:tcBorders>
            <w:shd w:val="clear" w:color="auto" w:fill="auto"/>
            <w:noWrap/>
            <w:vAlign w:val="bottom"/>
            <w:hideMark/>
          </w:tcPr>
          <w:p w14:paraId="28DAA03B"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FR0000130809</w:t>
            </w:r>
          </w:p>
        </w:tc>
        <w:tc>
          <w:tcPr>
            <w:tcW w:w="923" w:type="dxa"/>
            <w:tcBorders>
              <w:top w:val="nil"/>
              <w:left w:val="nil"/>
              <w:bottom w:val="nil"/>
              <w:right w:val="single" w:sz="4" w:space="0" w:color="auto"/>
            </w:tcBorders>
            <w:shd w:val="clear" w:color="auto" w:fill="auto"/>
            <w:noWrap/>
            <w:vAlign w:val="bottom"/>
            <w:hideMark/>
          </w:tcPr>
          <w:p w14:paraId="6641C355"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5 000</w:t>
            </w:r>
          </w:p>
        </w:tc>
      </w:tr>
      <w:tr w:rsidR="00A960AE" w:rsidRPr="00A960AE" w14:paraId="4DD97B0D"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19139B2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17/04/2019</w:t>
            </w:r>
          </w:p>
        </w:tc>
        <w:tc>
          <w:tcPr>
            <w:tcW w:w="1480" w:type="dxa"/>
            <w:tcBorders>
              <w:top w:val="nil"/>
              <w:left w:val="nil"/>
              <w:bottom w:val="nil"/>
              <w:right w:val="nil"/>
            </w:tcBorders>
            <w:shd w:val="clear" w:color="auto" w:fill="auto"/>
            <w:noWrap/>
            <w:vAlign w:val="center"/>
            <w:hideMark/>
          </w:tcPr>
          <w:p w14:paraId="2034BC4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RENAULT</w:t>
            </w:r>
          </w:p>
        </w:tc>
        <w:tc>
          <w:tcPr>
            <w:tcW w:w="517" w:type="dxa"/>
            <w:tcBorders>
              <w:top w:val="nil"/>
              <w:left w:val="nil"/>
              <w:bottom w:val="nil"/>
              <w:right w:val="nil"/>
            </w:tcBorders>
            <w:shd w:val="clear" w:color="auto" w:fill="auto"/>
            <w:noWrap/>
            <w:vAlign w:val="center"/>
            <w:hideMark/>
          </w:tcPr>
          <w:p w14:paraId="2226D837"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center"/>
            <w:hideMark/>
          </w:tcPr>
          <w:p w14:paraId="47417E36"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157 910 € </w:t>
            </w:r>
          </w:p>
        </w:tc>
        <w:tc>
          <w:tcPr>
            <w:tcW w:w="1251" w:type="dxa"/>
            <w:tcBorders>
              <w:top w:val="nil"/>
              <w:left w:val="nil"/>
              <w:bottom w:val="nil"/>
              <w:right w:val="single" w:sz="4" w:space="0" w:color="auto"/>
            </w:tcBorders>
            <w:shd w:val="clear" w:color="auto" w:fill="auto"/>
            <w:noWrap/>
            <w:vAlign w:val="bottom"/>
            <w:hideMark/>
          </w:tcPr>
          <w:p w14:paraId="3693BB5A"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FR0000131906</w:t>
            </w:r>
          </w:p>
        </w:tc>
        <w:tc>
          <w:tcPr>
            <w:tcW w:w="923" w:type="dxa"/>
            <w:tcBorders>
              <w:top w:val="nil"/>
              <w:left w:val="nil"/>
              <w:bottom w:val="nil"/>
              <w:right w:val="single" w:sz="4" w:space="0" w:color="auto"/>
            </w:tcBorders>
            <w:shd w:val="clear" w:color="auto" w:fill="auto"/>
            <w:noWrap/>
            <w:vAlign w:val="bottom"/>
            <w:hideMark/>
          </w:tcPr>
          <w:p w14:paraId="5C874E73"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2 500</w:t>
            </w:r>
          </w:p>
        </w:tc>
      </w:tr>
      <w:tr w:rsidR="00A960AE" w:rsidRPr="00A960AE" w14:paraId="46DF536B"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2B52836E"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18/04/2019</w:t>
            </w:r>
          </w:p>
        </w:tc>
        <w:tc>
          <w:tcPr>
            <w:tcW w:w="1480" w:type="dxa"/>
            <w:tcBorders>
              <w:top w:val="nil"/>
              <w:left w:val="nil"/>
              <w:bottom w:val="nil"/>
              <w:right w:val="nil"/>
            </w:tcBorders>
            <w:shd w:val="clear" w:color="auto" w:fill="auto"/>
            <w:noWrap/>
            <w:vAlign w:val="center"/>
            <w:hideMark/>
          </w:tcPr>
          <w:p w14:paraId="1788E768"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Société Générale</w:t>
            </w:r>
          </w:p>
        </w:tc>
        <w:tc>
          <w:tcPr>
            <w:tcW w:w="517" w:type="dxa"/>
            <w:tcBorders>
              <w:top w:val="nil"/>
              <w:left w:val="nil"/>
              <w:bottom w:val="nil"/>
              <w:right w:val="nil"/>
            </w:tcBorders>
            <w:shd w:val="clear" w:color="auto" w:fill="auto"/>
            <w:noWrap/>
            <w:vAlign w:val="center"/>
            <w:hideMark/>
          </w:tcPr>
          <w:p w14:paraId="7A224F7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center"/>
            <w:hideMark/>
          </w:tcPr>
          <w:p w14:paraId="114F0AB5"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143 064 € </w:t>
            </w:r>
          </w:p>
        </w:tc>
        <w:tc>
          <w:tcPr>
            <w:tcW w:w="1251" w:type="dxa"/>
            <w:tcBorders>
              <w:top w:val="nil"/>
              <w:left w:val="nil"/>
              <w:bottom w:val="nil"/>
              <w:right w:val="single" w:sz="4" w:space="0" w:color="auto"/>
            </w:tcBorders>
            <w:shd w:val="clear" w:color="auto" w:fill="auto"/>
            <w:noWrap/>
            <w:vAlign w:val="bottom"/>
            <w:hideMark/>
          </w:tcPr>
          <w:p w14:paraId="205A7515"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FR0000130809</w:t>
            </w:r>
          </w:p>
        </w:tc>
        <w:tc>
          <w:tcPr>
            <w:tcW w:w="923" w:type="dxa"/>
            <w:tcBorders>
              <w:top w:val="nil"/>
              <w:left w:val="nil"/>
              <w:bottom w:val="nil"/>
              <w:right w:val="single" w:sz="4" w:space="0" w:color="auto"/>
            </w:tcBorders>
            <w:shd w:val="clear" w:color="auto" w:fill="auto"/>
            <w:noWrap/>
            <w:vAlign w:val="bottom"/>
            <w:hideMark/>
          </w:tcPr>
          <w:p w14:paraId="494A6A5D"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5 000</w:t>
            </w:r>
          </w:p>
        </w:tc>
      </w:tr>
      <w:tr w:rsidR="00A960AE" w:rsidRPr="00A960AE" w14:paraId="725B4D9A" w14:textId="77777777" w:rsidTr="004865FE">
        <w:trPr>
          <w:trHeight w:val="288"/>
        </w:trPr>
        <w:tc>
          <w:tcPr>
            <w:tcW w:w="1240" w:type="dxa"/>
            <w:tcBorders>
              <w:top w:val="nil"/>
              <w:left w:val="single" w:sz="4" w:space="0" w:color="auto"/>
              <w:bottom w:val="nil"/>
              <w:right w:val="nil"/>
            </w:tcBorders>
            <w:shd w:val="clear" w:color="auto" w:fill="auto"/>
            <w:noWrap/>
            <w:vAlign w:val="center"/>
            <w:hideMark/>
          </w:tcPr>
          <w:p w14:paraId="008FFD5A"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24/04/2019</w:t>
            </w:r>
          </w:p>
        </w:tc>
        <w:tc>
          <w:tcPr>
            <w:tcW w:w="1480" w:type="dxa"/>
            <w:tcBorders>
              <w:top w:val="nil"/>
              <w:left w:val="nil"/>
              <w:bottom w:val="nil"/>
              <w:right w:val="nil"/>
            </w:tcBorders>
            <w:shd w:val="clear" w:color="auto" w:fill="auto"/>
            <w:noWrap/>
            <w:vAlign w:val="center"/>
            <w:hideMark/>
          </w:tcPr>
          <w:p w14:paraId="2EF7122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RENAULT</w:t>
            </w:r>
          </w:p>
        </w:tc>
        <w:tc>
          <w:tcPr>
            <w:tcW w:w="517" w:type="dxa"/>
            <w:tcBorders>
              <w:top w:val="nil"/>
              <w:left w:val="nil"/>
              <w:bottom w:val="nil"/>
              <w:right w:val="nil"/>
            </w:tcBorders>
            <w:shd w:val="clear" w:color="auto" w:fill="auto"/>
            <w:noWrap/>
            <w:vAlign w:val="center"/>
            <w:hideMark/>
          </w:tcPr>
          <w:p w14:paraId="577F4AD0"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center"/>
            <w:hideMark/>
          </w:tcPr>
          <w:p w14:paraId="4965F633" w14:textId="77777777" w:rsidR="00A960AE" w:rsidRPr="00A960AE" w:rsidRDefault="00A960AE" w:rsidP="00A960AE">
            <w:pPr>
              <w:spacing w:after="0" w:line="240" w:lineRule="auto"/>
              <w:jc w:val="center"/>
              <w:rPr>
                <w:rFonts w:ascii="Calibri" w:eastAsia="Times New Roman" w:hAnsi="Calibri" w:cs="Calibri"/>
                <w:sz w:val="18"/>
                <w:szCs w:val="18"/>
                <w:lang w:eastAsia="fr-FR"/>
              </w:rPr>
            </w:pPr>
            <w:r w:rsidRPr="00A960AE">
              <w:rPr>
                <w:rFonts w:ascii="Calibri" w:eastAsia="Times New Roman" w:hAnsi="Calibri" w:cs="Calibri"/>
                <w:sz w:val="18"/>
                <w:szCs w:val="18"/>
                <w:lang w:eastAsia="fr-FR"/>
              </w:rPr>
              <w:t xml:space="preserve">   151 131 € </w:t>
            </w:r>
          </w:p>
        </w:tc>
        <w:tc>
          <w:tcPr>
            <w:tcW w:w="1251" w:type="dxa"/>
            <w:tcBorders>
              <w:top w:val="nil"/>
              <w:left w:val="nil"/>
              <w:bottom w:val="nil"/>
              <w:right w:val="single" w:sz="4" w:space="0" w:color="auto"/>
            </w:tcBorders>
            <w:shd w:val="clear" w:color="auto" w:fill="auto"/>
            <w:noWrap/>
            <w:vAlign w:val="bottom"/>
            <w:hideMark/>
          </w:tcPr>
          <w:p w14:paraId="67A2E295"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FR0000131906</w:t>
            </w:r>
          </w:p>
        </w:tc>
        <w:tc>
          <w:tcPr>
            <w:tcW w:w="923" w:type="dxa"/>
            <w:tcBorders>
              <w:top w:val="nil"/>
              <w:left w:val="nil"/>
              <w:bottom w:val="nil"/>
              <w:right w:val="single" w:sz="4" w:space="0" w:color="auto"/>
            </w:tcBorders>
            <w:shd w:val="clear" w:color="auto" w:fill="auto"/>
            <w:noWrap/>
            <w:vAlign w:val="bottom"/>
            <w:hideMark/>
          </w:tcPr>
          <w:p w14:paraId="6EDB6915"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2 500</w:t>
            </w:r>
          </w:p>
        </w:tc>
      </w:tr>
      <w:tr w:rsidR="00A960AE" w:rsidRPr="00A960AE" w14:paraId="1747ED59"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33BCFA4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03/06/2019</w:t>
            </w:r>
          </w:p>
        </w:tc>
        <w:tc>
          <w:tcPr>
            <w:tcW w:w="1480" w:type="dxa"/>
            <w:tcBorders>
              <w:top w:val="nil"/>
              <w:left w:val="nil"/>
              <w:bottom w:val="nil"/>
              <w:right w:val="nil"/>
            </w:tcBorders>
            <w:shd w:val="clear" w:color="auto" w:fill="auto"/>
            <w:noWrap/>
            <w:vAlign w:val="bottom"/>
            <w:hideMark/>
          </w:tcPr>
          <w:p w14:paraId="73D9DD2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Essilor</w:t>
            </w:r>
          </w:p>
        </w:tc>
        <w:tc>
          <w:tcPr>
            <w:tcW w:w="517" w:type="dxa"/>
            <w:tcBorders>
              <w:top w:val="nil"/>
              <w:left w:val="nil"/>
              <w:bottom w:val="nil"/>
              <w:right w:val="nil"/>
            </w:tcBorders>
            <w:shd w:val="clear" w:color="auto" w:fill="auto"/>
            <w:noWrap/>
            <w:vAlign w:val="bottom"/>
            <w:hideMark/>
          </w:tcPr>
          <w:p w14:paraId="0805912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589DA449"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323 652 € </w:t>
            </w:r>
          </w:p>
        </w:tc>
        <w:tc>
          <w:tcPr>
            <w:tcW w:w="1251" w:type="dxa"/>
            <w:tcBorders>
              <w:top w:val="nil"/>
              <w:left w:val="nil"/>
              <w:bottom w:val="nil"/>
              <w:right w:val="single" w:sz="4" w:space="0" w:color="auto"/>
            </w:tcBorders>
            <w:shd w:val="clear" w:color="auto" w:fill="auto"/>
            <w:noWrap/>
            <w:vAlign w:val="bottom"/>
            <w:hideMark/>
          </w:tcPr>
          <w:p w14:paraId="32B463AE"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FR0000121667</w:t>
            </w:r>
          </w:p>
        </w:tc>
        <w:tc>
          <w:tcPr>
            <w:tcW w:w="923" w:type="dxa"/>
            <w:tcBorders>
              <w:top w:val="nil"/>
              <w:left w:val="nil"/>
              <w:bottom w:val="nil"/>
              <w:right w:val="single" w:sz="4" w:space="0" w:color="auto"/>
            </w:tcBorders>
            <w:shd w:val="clear" w:color="auto" w:fill="auto"/>
            <w:noWrap/>
            <w:vAlign w:val="bottom"/>
            <w:hideMark/>
          </w:tcPr>
          <w:p w14:paraId="4D60D7E9"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3 100</w:t>
            </w:r>
          </w:p>
        </w:tc>
      </w:tr>
      <w:tr w:rsidR="00A960AE" w:rsidRPr="00A960AE" w14:paraId="4920BD5A"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3D6931C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04/06/2019</w:t>
            </w:r>
          </w:p>
        </w:tc>
        <w:tc>
          <w:tcPr>
            <w:tcW w:w="1480" w:type="dxa"/>
            <w:tcBorders>
              <w:top w:val="nil"/>
              <w:left w:val="nil"/>
              <w:bottom w:val="nil"/>
              <w:right w:val="nil"/>
            </w:tcBorders>
            <w:shd w:val="clear" w:color="auto" w:fill="auto"/>
            <w:noWrap/>
            <w:vAlign w:val="bottom"/>
            <w:hideMark/>
          </w:tcPr>
          <w:p w14:paraId="07A8170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56876E88"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24A84A3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20 092 € </w:t>
            </w:r>
          </w:p>
        </w:tc>
        <w:tc>
          <w:tcPr>
            <w:tcW w:w="1251" w:type="dxa"/>
            <w:tcBorders>
              <w:top w:val="nil"/>
              <w:left w:val="nil"/>
              <w:bottom w:val="nil"/>
              <w:right w:val="single" w:sz="4" w:space="0" w:color="auto"/>
            </w:tcBorders>
            <w:shd w:val="clear" w:color="auto" w:fill="auto"/>
            <w:noWrap/>
            <w:vAlign w:val="bottom"/>
            <w:hideMark/>
          </w:tcPr>
          <w:p w14:paraId="6733447E"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34D777EE"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5 000</w:t>
            </w:r>
          </w:p>
        </w:tc>
      </w:tr>
      <w:tr w:rsidR="00A960AE" w:rsidRPr="00A960AE" w14:paraId="5729B220"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080D020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05/06/2019</w:t>
            </w:r>
          </w:p>
        </w:tc>
        <w:tc>
          <w:tcPr>
            <w:tcW w:w="1480" w:type="dxa"/>
            <w:tcBorders>
              <w:top w:val="nil"/>
              <w:left w:val="nil"/>
              <w:bottom w:val="nil"/>
              <w:right w:val="nil"/>
            </w:tcBorders>
            <w:shd w:val="clear" w:color="auto" w:fill="auto"/>
            <w:noWrap/>
            <w:vAlign w:val="bottom"/>
            <w:hideMark/>
          </w:tcPr>
          <w:p w14:paraId="7612D82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4BFBFAD5"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1CD2981F"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228 317 € </w:t>
            </w:r>
          </w:p>
        </w:tc>
        <w:tc>
          <w:tcPr>
            <w:tcW w:w="1251" w:type="dxa"/>
            <w:tcBorders>
              <w:top w:val="nil"/>
              <w:left w:val="nil"/>
              <w:bottom w:val="nil"/>
              <w:right w:val="single" w:sz="4" w:space="0" w:color="auto"/>
            </w:tcBorders>
            <w:shd w:val="clear" w:color="auto" w:fill="auto"/>
            <w:noWrap/>
            <w:vAlign w:val="bottom"/>
            <w:hideMark/>
          </w:tcPr>
          <w:p w14:paraId="56228F76"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06E69689"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55 000</w:t>
            </w:r>
          </w:p>
        </w:tc>
      </w:tr>
      <w:tr w:rsidR="00A960AE" w:rsidRPr="00A960AE" w14:paraId="4977539E"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75A363D7"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10/06/2019</w:t>
            </w:r>
          </w:p>
        </w:tc>
        <w:tc>
          <w:tcPr>
            <w:tcW w:w="1480" w:type="dxa"/>
            <w:tcBorders>
              <w:top w:val="nil"/>
              <w:left w:val="nil"/>
              <w:bottom w:val="nil"/>
              <w:right w:val="nil"/>
            </w:tcBorders>
            <w:shd w:val="clear" w:color="auto" w:fill="auto"/>
            <w:noWrap/>
            <w:vAlign w:val="bottom"/>
            <w:hideMark/>
          </w:tcPr>
          <w:p w14:paraId="183A36BA"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Intel</w:t>
            </w:r>
          </w:p>
        </w:tc>
        <w:tc>
          <w:tcPr>
            <w:tcW w:w="517" w:type="dxa"/>
            <w:tcBorders>
              <w:top w:val="nil"/>
              <w:left w:val="nil"/>
              <w:bottom w:val="nil"/>
              <w:right w:val="nil"/>
            </w:tcBorders>
            <w:shd w:val="clear" w:color="auto" w:fill="auto"/>
            <w:noWrap/>
            <w:vAlign w:val="bottom"/>
            <w:hideMark/>
          </w:tcPr>
          <w:p w14:paraId="0C524EB9"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4CA2B7D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470 036 € </w:t>
            </w:r>
          </w:p>
        </w:tc>
        <w:tc>
          <w:tcPr>
            <w:tcW w:w="1251" w:type="dxa"/>
            <w:tcBorders>
              <w:top w:val="nil"/>
              <w:left w:val="nil"/>
              <w:bottom w:val="nil"/>
              <w:right w:val="single" w:sz="4" w:space="0" w:color="auto"/>
            </w:tcBorders>
            <w:shd w:val="clear" w:color="auto" w:fill="auto"/>
            <w:noWrap/>
            <w:vAlign w:val="bottom"/>
            <w:hideMark/>
          </w:tcPr>
          <w:p w14:paraId="1972B800"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US4581401001</w:t>
            </w:r>
          </w:p>
        </w:tc>
        <w:tc>
          <w:tcPr>
            <w:tcW w:w="923" w:type="dxa"/>
            <w:tcBorders>
              <w:top w:val="nil"/>
              <w:left w:val="nil"/>
              <w:bottom w:val="nil"/>
              <w:right w:val="single" w:sz="4" w:space="0" w:color="auto"/>
            </w:tcBorders>
            <w:shd w:val="clear" w:color="auto" w:fill="auto"/>
            <w:noWrap/>
            <w:vAlign w:val="bottom"/>
            <w:hideMark/>
          </w:tcPr>
          <w:p w14:paraId="6109A121"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10 000</w:t>
            </w:r>
          </w:p>
        </w:tc>
      </w:tr>
      <w:tr w:rsidR="00A960AE" w:rsidRPr="00A960AE" w14:paraId="3B8805F9"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01CFAC1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19/06/2019</w:t>
            </w:r>
          </w:p>
        </w:tc>
        <w:tc>
          <w:tcPr>
            <w:tcW w:w="1480" w:type="dxa"/>
            <w:tcBorders>
              <w:top w:val="nil"/>
              <w:left w:val="nil"/>
              <w:bottom w:val="nil"/>
              <w:right w:val="nil"/>
            </w:tcBorders>
            <w:shd w:val="clear" w:color="auto" w:fill="auto"/>
            <w:noWrap/>
            <w:vAlign w:val="bottom"/>
            <w:hideMark/>
          </w:tcPr>
          <w:p w14:paraId="1708CF96"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Essilor</w:t>
            </w:r>
          </w:p>
        </w:tc>
        <w:tc>
          <w:tcPr>
            <w:tcW w:w="517" w:type="dxa"/>
            <w:tcBorders>
              <w:top w:val="nil"/>
              <w:left w:val="nil"/>
              <w:bottom w:val="nil"/>
              <w:right w:val="nil"/>
            </w:tcBorders>
            <w:shd w:val="clear" w:color="auto" w:fill="auto"/>
            <w:noWrap/>
            <w:vAlign w:val="bottom"/>
            <w:hideMark/>
          </w:tcPr>
          <w:p w14:paraId="481064F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37FD4BEA"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166 358 € </w:t>
            </w:r>
          </w:p>
        </w:tc>
        <w:tc>
          <w:tcPr>
            <w:tcW w:w="1251" w:type="dxa"/>
            <w:tcBorders>
              <w:top w:val="nil"/>
              <w:left w:val="nil"/>
              <w:bottom w:val="nil"/>
              <w:right w:val="single" w:sz="4" w:space="0" w:color="auto"/>
            </w:tcBorders>
            <w:shd w:val="clear" w:color="auto" w:fill="auto"/>
            <w:noWrap/>
            <w:vAlign w:val="bottom"/>
            <w:hideMark/>
          </w:tcPr>
          <w:p w14:paraId="0B562C19"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FR0000121667</w:t>
            </w:r>
          </w:p>
        </w:tc>
        <w:tc>
          <w:tcPr>
            <w:tcW w:w="923" w:type="dxa"/>
            <w:tcBorders>
              <w:top w:val="nil"/>
              <w:left w:val="nil"/>
              <w:bottom w:val="nil"/>
              <w:right w:val="single" w:sz="4" w:space="0" w:color="auto"/>
            </w:tcBorders>
            <w:shd w:val="clear" w:color="auto" w:fill="auto"/>
            <w:noWrap/>
            <w:vAlign w:val="bottom"/>
            <w:hideMark/>
          </w:tcPr>
          <w:p w14:paraId="03E677A1"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1 500</w:t>
            </w:r>
          </w:p>
        </w:tc>
      </w:tr>
      <w:tr w:rsidR="00A960AE" w:rsidRPr="00A960AE" w14:paraId="1A7F6944"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6C59FAE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21/06/2019</w:t>
            </w:r>
          </w:p>
        </w:tc>
        <w:tc>
          <w:tcPr>
            <w:tcW w:w="1480" w:type="dxa"/>
            <w:tcBorders>
              <w:top w:val="nil"/>
              <w:left w:val="nil"/>
              <w:bottom w:val="nil"/>
              <w:right w:val="nil"/>
            </w:tcBorders>
            <w:shd w:val="clear" w:color="auto" w:fill="auto"/>
            <w:noWrap/>
            <w:vAlign w:val="bottom"/>
            <w:hideMark/>
          </w:tcPr>
          <w:p w14:paraId="52FC04E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2955E62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5F6BD2F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214 445 € </w:t>
            </w:r>
          </w:p>
        </w:tc>
        <w:tc>
          <w:tcPr>
            <w:tcW w:w="1251" w:type="dxa"/>
            <w:tcBorders>
              <w:top w:val="nil"/>
              <w:left w:val="nil"/>
              <w:bottom w:val="nil"/>
              <w:right w:val="single" w:sz="4" w:space="0" w:color="auto"/>
            </w:tcBorders>
            <w:shd w:val="clear" w:color="auto" w:fill="auto"/>
            <w:noWrap/>
            <w:vAlign w:val="bottom"/>
            <w:hideMark/>
          </w:tcPr>
          <w:p w14:paraId="468840CA"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742A6C08"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60 000</w:t>
            </w:r>
          </w:p>
        </w:tc>
      </w:tr>
      <w:tr w:rsidR="00A960AE" w:rsidRPr="00A960AE" w14:paraId="7FFBFEDA"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24F6210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21/06/2019</w:t>
            </w:r>
          </w:p>
        </w:tc>
        <w:tc>
          <w:tcPr>
            <w:tcW w:w="1480" w:type="dxa"/>
            <w:tcBorders>
              <w:top w:val="nil"/>
              <w:left w:val="nil"/>
              <w:bottom w:val="nil"/>
              <w:right w:val="nil"/>
            </w:tcBorders>
            <w:shd w:val="clear" w:color="auto" w:fill="auto"/>
            <w:noWrap/>
            <w:vAlign w:val="bottom"/>
            <w:hideMark/>
          </w:tcPr>
          <w:p w14:paraId="115D124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Essilor</w:t>
            </w:r>
          </w:p>
        </w:tc>
        <w:tc>
          <w:tcPr>
            <w:tcW w:w="517" w:type="dxa"/>
            <w:tcBorders>
              <w:top w:val="nil"/>
              <w:left w:val="nil"/>
              <w:bottom w:val="nil"/>
              <w:right w:val="nil"/>
            </w:tcBorders>
            <w:shd w:val="clear" w:color="auto" w:fill="auto"/>
            <w:noWrap/>
            <w:vAlign w:val="bottom"/>
            <w:hideMark/>
          </w:tcPr>
          <w:p w14:paraId="3A924139"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17DCF9F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177 609 € </w:t>
            </w:r>
          </w:p>
        </w:tc>
        <w:tc>
          <w:tcPr>
            <w:tcW w:w="1251" w:type="dxa"/>
            <w:tcBorders>
              <w:top w:val="nil"/>
              <w:left w:val="nil"/>
              <w:bottom w:val="nil"/>
              <w:right w:val="single" w:sz="4" w:space="0" w:color="auto"/>
            </w:tcBorders>
            <w:shd w:val="clear" w:color="auto" w:fill="auto"/>
            <w:noWrap/>
            <w:vAlign w:val="bottom"/>
            <w:hideMark/>
          </w:tcPr>
          <w:p w14:paraId="136ED699"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FR0000121667</w:t>
            </w:r>
          </w:p>
        </w:tc>
        <w:tc>
          <w:tcPr>
            <w:tcW w:w="923" w:type="dxa"/>
            <w:tcBorders>
              <w:top w:val="nil"/>
              <w:left w:val="nil"/>
              <w:bottom w:val="nil"/>
              <w:right w:val="single" w:sz="4" w:space="0" w:color="auto"/>
            </w:tcBorders>
            <w:shd w:val="clear" w:color="auto" w:fill="auto"/>
            <w:noWrap/>
            <w:vAlign w:val="bottom"/>
            <w:hideMark/>
          </w:tcPr>
          <w:p w14:paraId="1E2B58D7"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1 600</w:t>
            </w:r>
          </w:p>
        </w:tc>
      </w:tr>
      <w:tr w:rsidR="00A960AE" w:rsidRPr="00A960AE" w14:paraId="000A0859"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016CEDB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22/07/2019</w:t>
            </w:r>
          </w:p>
        </w:tc>
        <w:tc>
          <w:tcPr>
            <w:tcW w:w="1480" w:type="dxa"/>
            <w:tcBorders>
              <w:top w:val="nil"/>
              <w:left w:val="nil"/>
              <w:bottom w:val="nil"/>
              <w:right w:val="nil"/>
            </w:tcBorders>
            <w:shd w:val="clear" w:color="auto" w:fill="auto"/>
            <w:noWrap/>
            <w:vAlign w:val="bottom"/>
            <w:hideMark/>
          </w:tcPr>
          <w:p w14:paraId="4AE8CE37"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Intel</w:t>
            </w:r>
          </w:p>
        </w:tc>
        <w:tc>
          <w:tcPr>
            <w:tcW w:w="517" w:type="dxa"/>
            <w:tcBorders>
              <w:top w:val="nil"/>
              <w:left w:val="nil"/>
              <w:bottom w:val="nil"/>
              <w:right w:val="nil"/>
            </w:tcBorders>
            <w:shd w:val="clear" w:color="auto" w:fill="auto"/>
            <w:noWrap/>
            <w:vAlign w:val="bottom"/>
            <w:hideMark/>
          </w:tcPr>
          <w:p w14:paraId="603BDF0F"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73E927E6"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499 840 € </w:t>
            </w:r>
          </w:p>
        </w:tc>
        <w:tc>
          <w:tcPr>
            <w:tcW w:w="1251" w:type="dxa"/>
            <w:tcBorders>
              <w:top w:val="nil"/>
              <w:left w:val="nil"/>
              <w:bottom w:val="nil"/>
              <w:right w:val="single" w:sz="4" w:space="0" w:color="auto"/>
            </w:tcBorders>
            <w:shd w:val="clear" w:color="auto" w:fill="auto"/>
            <w:noWrap/>
            <w:vAlign w:val="bottom"/>
            <w:hideMark/>
          </w:tcPr>
          <w:p w14:paraId="52ACA082"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US4581401001</w:t>
            </w:r>
          </w:p>
        </w:tc>
        <w:tc>
          <w:tcPr>
            <w:tcW w:w="923" w:type="dxa"/>
            <w:tcBorders>
              <w:top w:val="nil"/>
              <w:left w:val="nil"/>
              <w:bottom w:val="nil"/>
              <w:right w:val="single" w:sz="4" w:space="0" w:color="auto"/>
            </w:tcBorders>
            <w:shd w:val="clear" w:color="auto" w:fill="auto"/>
            <w:noWrap/>
            <w:vAlign w:val="bottom"/>
            <w:hideMark/>
          </w:tcPr>
          <w:p w14:paraId="4396821A"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10 000</w:t>
            </w:r>
          </w:p>
        </w:tc>
      </w:tr>
      <w:tr w:rsidR="00A960AE" w:rsidRPr="00A960AE" w14:paraId="69D70A18"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1BEEFD3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21/10/2019</w:t>
            </w:r>
          </w:p>
        </w:tc>
        <w:tc>
          <w:tcPr>
            <w:tcW w:w="1480" w:type="dxa"/>
            <w:tcBorders>
              <w:top w:val="nil"/>
              <w:left w:val="nil"/>
              <w:bottom w:val="nil"/>
              <w:right w:val="nil"/>
            </w:tcBorders>
            <w:shd w:val="clear" w:color="auto" w:fill="auto"/>
            <w:noWrap/>
            <w:vAlign w:val="bottom"/>
            <w:hideMark/>
          </w:tcPr>
          <w:p w14:paraId="3A745037"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1B36286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07B973EE"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243 528 € </w:t>
            </w:r>
          </w:p>
        </w:tc>
        <w:tc>
          <w:tcPr>
            <w:tcW w:w="1251" w:type="dxa"/>
            <w:tcBorders>
              <w:top w:val="nil"/>
              <w:left w:val="nil"/>
              <w:bottom w:val="nil"/>
              <w:right w:val="single" w:sz="4" w:space="0" w:color="auto"/>
            </w:tcBorders>
            <w:shd w:val="clear" w:color="auto" w:fill="auto"/>
            <w:noWrap/>
            <w:vAlign w:val="bottom"/>
            <w:hideMark/>
          </w:tcPr>
          <w:p w14:paraId="70A129E1"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71D09452"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60 000</w:t>
            </w:r>
          </w:p>
        </w:tc>
      </w:tr>
      <w:tr w:rsidR="00A960AE" w:rsidRPr="00A960AE" w14:paraId="5C0D0422"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79AB21BE"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21/10/2019</w:t>
            </w:r>
          </w:p>
        </w:tc>
        <w:tc>
          <w:tcPr>
            <w:tcW w:w="1480" w:type="dxa"/>
            <w:tcBorders>
              <w:top w:val="nil"/>
              <w:left w:val="nil"/>
              <w:bottom w:val="nil"/>
              <w:right w:val="nil"/>
            </w:tcBorders>
            <w:shd w:val="clear" w:color="auto" w:fill="auto"/>
            <w:noWrap/>
            <w:vAlign w:val="bottom"/>
            <w:hideMark/>
          </w:tcPr>
          <w:p w14:paraId="353A6CD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1D6F110F"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48EE3DD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243 504 € </w:t>
            </w:r>
          </w:p>
        </w:tc>
        <w:tc>
          <w:tcPr>
            <w:tcW w:w="1251" w:type="dxa"/>
            <w:tcBorders>
              <w:top w:val="nil"/>
              <w:left w:val="nil"/>
              <w:bottom w:val="nil"/>
              <w:right w:val="single" w:sz="4" w:space="0" w:color="auto"/>
            </w:tcBorders>
            <w:shd w:val="clear" w:color="auto" w:fill="auto"/>
            <w:noWrap/>
            <w:vAlign w:val="bottom"/>
            <w:hideMark/>
          </w:tcPr>
          <w:p w14:paraId="76C6852A"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38EFA155"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60 000</w:t>
            </w:r>
          </w:p>
        </w:tc>
      </w:tr>
      <w:tr w:rsidR="00A960AE" w:rsidRPr="00A960AE" w14:paraId="51493B11"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7A64666A"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23/10/2019</w:t>
            </w:r>
          </w:p>
        </w:tc>
        <w:tc>
          <w:tcPr>
            <w:tcW w:w="1480" w:type="dxa"/>
            <w:tcBorders>
              <w:top w:val="nil"/>
              <w:left w:val="nil"/>
              <w:bottom w:val="nil"/>
              <w:right w:val="nil"/>
            </w:tcBorders>
            <w:shd w:val="clear" w:color="auto" w:fill="auto"/>
            <w:noWrap/>
            <w:vAlign w:val="bottom"/>
            <w:hideMark/>
          </w:tcPr>
          <w:p w14:paraId="78B9D715"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Thales</w:t>
            </w:r>
          </w:p>
        </w:tc>
        <w:tc>
          <w:tcPr>
            <w:tcW w:w="517" w:type="dxa"/>
            <w:tcBorders>
              <w:top w:val="nil"/>
              <w:left w:val="nil"/>
              <w:bottom w:val="nil"/>
              <w:right w:val="nil"/>
            </w:tcBorders>
            <w:shd w:val="clear" w:color="auto" w:fill="auto"/>
            <w:noWrap/>
            <w:vAlign w:val="bottom"/>
            <w:hideMark/>
          </w:tcPr>
          <w:p w14:paraId="0C7D3419"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3A44531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263 362 € </w:t>
            </w:r>
          </w:p>
        </w:tc>
        <w:tc>
          <w:tcPr>
            <w:tcW w:w="1251" w:type="dxa"/>
            <w:tcBorders>
              <w:top w:val="nil"/>
              <w:left w:val="nil"/>
              <w:bottom w:val="nil"/>
              <w:right w:val="single" w:sz="4" w:space="0" w:color="auto"/>
            </w:tcBorders>
            <w:shd w:val="clear" w:color="auto" w:fill="auto"/>
            <w:noWrap/>
            <w:vAlign w:val="bottom"/>
            <w:hideMark/>
          </w:tcPr>
          <w:p w14:paraId="6A354391"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FR0000121329</w:t>
            </w:r>
          </w:p>
        </w:tc>
        <w:tc>
          <w:tcPr>
            <w:tcW w:w="923" w:type="dxa"/>
            <w:tcBorders>
              <w:top w:val="nil"/>
              <w:left w:val="nil"/>
              <w:bottom w:val="nil"/>
              <w:right w:val="single" w:sz="4" w:space="0" w:color="auto"/>
            </w:tcBorders>
            <w:shd w:val="clear" w:color="auto" w:fill="auto"/>
            <w:noWrap/>
            <w:vAlign w:val="bottom"/>
            <w:hideMark/>
          </w:tcPr>
          <w:p w14:paraId="186E0F2F"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3 000</w:t>
            </w:r>
          </w:p>
        </w:tc>
      </w:tr>
      <w:tr w:rsidR="00A960AE" w:rsidRPr="00A960AE" w14:paraId="6DC61144"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016BCF79"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28/10/2019</w:t>
            </w:r>
          </w:p>
        </w:tc>
        <w:tc>
          <w:tcPr>
            <w:tcW w:w="1480" w:type="dxa"/>
            <w:tcBorders>
              <w:top w:val="nil"/>
              <w:left w:val="nil"/>
              <w:bottom w:val="nil"/>
              <w:right w:val="nil"/>
            </w:tcBorders>
            <w:shd w:val="clear" w:color="auto" w:fill="auto"/>
            <w:noWrap/>
            <w:vAlign w:val="bottom"/>
            <w:hideMark/>
          </w:tcPr>
          <w:p w14:paraId="200315B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Thales</w:t>
            </w:r>
          </w:p>
        </w:tc>
        <w:tc>
          <w:tcPr>
            <w:tcW w:w="517" w:type="dxa"/>
            <w:tcBorders>
              <w:top w:val="nil"/>
              <w:left w:val="nil"/>
              <w:bottom w:val="nil"/>
              <w:right w:val="nil"/>
            </w:tcBorders>
            <w:shd w:val="clear" w:color="auto" w:fill="auto"/>
            <w:noWrap/>
            <w:vAlign w:val="bottom"/>
            <w:hideMark/>
          </w:tcPr>
          <w:p w14:paraId="3164251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69F0612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176 277 € </w:t>
            </w:r>
          </w:p>
        </w:tc>
        <w:tc>
          <w:tcPr>
            <w:tcW w:w="1251" w:type="dxa"/>
            <w:tcBorders>
              <w:top w:val="nil"/>
              <w:left w:val="nil"/>
              <w:bottom w:val="nil"/>
              <w:right w:val="single" w:sz="4" w:space="0" w:color="auto"/>
            </w:tcBorders>
            <w:shd w:val="clear" w:color="auto" w:fill="auto"/>
            <w:noWrap/>
            <w:vAlign w:val="bottom"/>
            <w:hideMark/>
          </w:tcPr>
          <w:p w14:paraId="45CCCDCE"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FR0000121329</w:t>
            </w:r>
          </w:p>
        </w:tc>
        <w:tc>
          <w:tcPr>
            <w:tcW w:w="923" w:type="dxa"/>
            <w:tcBorders>
              <w:top w:val="nil"/>
              <w:left w:val="nil"/>
              <w:bottom w:val="nil"/>
              <w:right w:val="single" w:sz="4" w:space="0" w:color="auto"/>
            </w:tcBorders>
            <w:shd w:val="clear" w:color="auto" w:fill="auto"/>
            <w:noWrap/>
            <w:vAlign w:val="bottom"/>
            <w:hideMark/>
          </w:tcPr>
          <w:p w14:paraId="5D0040E2"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2 000</w:t>
            </w:r>
          </w:p>
        </w:tc>
      </w:tr>
      <w:tr w:rsidR="00A960AE" w:rsidRPr="00A960AE" w14:paraId="257BD397"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62913E8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20/11/2019</w:t>
            </w:r>
          </w:p>
        </w:tc>
        <w:tc>
          <w:tcPr>
            <w:tcW w:w="1480" w:type="dxa"/>
            <w:tcBorders>
              <w:top w:val="nil"/>
              <w:left w:val="nil"/>
              <w:bottom w:val="nil"/>
              <w:right w:val="nil"/>
            </w:tcBorders>
            <w:shd w:val="clear" w:color="auto" w:fill="auto"/>
            <w:noWrap/>
            <w:vAlign w:val="bottom"/>
            <w:hideMark/>
          </w:tcPr>
          <w:p w14:paraId="7917F52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THALES</w:t>
            </w:r>
          </w:p>
        </w:tc>
        <w:tc>
          <w:tcPr>
            <w:tcW w:w="517" w:type="dxa"/>
            <w:tcBorders>
              <w:top w:val="nil"/>
              <w:left w:val="nil"/>
              <w:bottom w:val="nil"/>
              <w:right w:val="nil"/>
            </w:tcBorders>
            <w:shd w:val="clear" w:color="auto" w:fill="auto"/>
            <w:noWrap/>
            <w:vAlign w:val="bottom"/>
            <w:hideMark/>
          </w:tcPr>
          <w:p w14:paraId="27243FD8"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34B20C5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460 616 € </w:t>
            </w:r>
          </w:p>
        </w:tc>
        <w:tc>
          <w:tcPr>
            <w:tcW w:w="1251" w:type="dxa"/>
            <w:tcBorders>
              <w:top w:val="nil"/>
              <w:left w:val="nil"/>
              <w:bottom w:val="nil"/>
              <w:right w:val="single" w:sz="4" w:space="0" w:color="auto"/>
            </w:tcBorders>
            <w:shd w:val="clear" w:color="auto" w:fill="auto"/>
            <w:noWrap/>
            <w:vAlign w:val="bottom"/>
            <w:hideMark/>
          </w:tcPr>
          <w:p w14:paraId="2D8F913D"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FR0000121329</w:t>
            </w:r>
          </w:p>
        </w:tc>
        <w:tc>
          <w:tcPr>
            <w:tcW w:w="923" w:type="dxa"/>
            <w:tcBorders>
              <w:top w:val="nil"/>
              <w:left w:val="nil"/>
              <w:bottom w:val="nil"/>
              <w:right w:val="single" w:sz="4" w:space="0" w:color="auto"/>
            </w:tcBorders>
            <w:shd w:val="clear" w:color="auto" w:fill="auto"/>
            <w:noWrap/>
            <w:vAlign w:val="bottom"/>
            <w:hideMark/>
          </w:tcPr>
          <w:p w14:paraId="77C396C4"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5 000</w:t>
            </w:r>
          </w:p>
        </w:tc>
      </w:tr>
      <w:tr w:rsidR="00A960AE" w:rsidRPr="00A960AE" w14:paraId="352E67DE"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1A712166"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25/11/2019</w:t>
            </w:r>
          </w:p>
        </w:tc>
        <w:tc>
          <w:tcPr>
            <w:tcW w:w="1480" w:type="dxa"/>
            <w:tcBorders>
              <w:top w:val="nil"/>
              <w:left w:val="nil"/>
              <w:bottom w:val="nil"/>
              <w:right w:val="nil"/>
            </w:tcBorders>
            <w:shd w:val="clear" w:color="auto" w:fill="auto"/>
            <w:noWrap/>
            <w:vAlign w:val="bottom"/>
            <w:hideMark/>
          </w:tcPr>
          <w:p w14:paraId="011AFBD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RENAULT</w:t>
            </w:r>
          </w:p>
        </w:tc>
        <w:tc>
          <w:tcPr>
            <w:tcW w:w="517" w:type="dxa"/>
            <w:tcBorders>
              <w:top w:val="nil"/>
              <w:left w:val="nil"/>
              <w:bottom w:val="nil"/>
              <w:right w:val="nil"/>
            </w:tcBorders>
            <w:shd w:val="clear" w:color="auto" w:fill="auto"/>
            <w:noWrap/>
            <w:vAlign w:val="bottom"/>
            <w:hideMark/>
          </w:tcPr>
          <w:p w14:paraId="033CC41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4D3AB34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313 613 € </w:t>
            </w:r>
          </w:p>
        </w:tc>
        <w:tc>
          <w:tcPr>
            <w:tcW w:w="1251" w:type="dxa"/>
            <w:tcBorders>
              <w:top w:val="nil"/>
              <w:left w:val="nil"/>
              <w:bottom w:val="nil"/>
              <w:right w:val="single" w:sz="4" w:space="0" w:color="auto"/>
            </w:tcBorders>
            <w:shd w:val="clear" w:color="auto" w:fill="auto"/>
            <w:noWrap/>
            <w:vAlign w:val="bottom"/>
            <w:hideMark/>
          </w:tcPr>
          <w:p w14:paraId="5FFC1D0A"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FR0000131906</w:t>
            </w:r>
          </w:p>
        </w:tc>
        <w:tc>
          <w:tcPr>
            <w:tcW w:w="923" w:type="dxa"/>
            <w:tcBorders>
              <w:top w:val="nil"/>
              <w:left w:val="nil"/>
              <w:bottom w:val="nil"/>
              <w:right w:val="single" w:sz="4" w:space="0" w:color="auto"/>
            </w:tcBorders>
            <w:shd w:val="clear" w:color="auto" w:fill="auto"/>
            <w:noWrap/>
            <w:vAlign w:val="bottom"/>
            <w:hideMark/>
          </w:tcPr>
          <w:p w14:paraId="65F2F859"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7 000</w:t>
            </w:r>
          </w:p>
        </w:tc>
      </w:tr>
      <w:tr w:rsidR="00A960AE" w:rsidRPr="00A960AE" w14:paraId="27E8677D"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50537AF3"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03/12/2019</w:t>
            </w:r>
          </w:p>
        </w:tc>
        <w:tc>
          <w:tcPr>
            <w:tcW w:w="1480" w:type="dxa"/>
            <w:tcBorders>
              <w:top w:val="nil"/>
              <w:left w:val="nil"/>
              <w:bottom w:val="nil"/>
              <w:right w:val="nil"/>
            </w:tcBorders>
            <w:shd w:val="clear" w:color="auto" w:fill="auto"/>
            <w:noWrap/>
            <w:vAlign w:val="bottom"/>
            <w:hideMark/>
          </w:tcPr>
          <w:p w14:paraId="2DA0AB2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07D38A3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596ACBB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146 803 € </w:t>
            </w:r>
          </w:p>
        </w:tc>
        <w:tc>
          <w:tcPr>
            <w:tcW w:w="1251" w:type="dxa"/>
            <w:tcBorders>
              <w:top w:val="nil"/>
              <w:left w:val="nil"/>
              <w:bottom w:val="nil"/>
              <w:right w:val="single" w:sz="4" w:space="0" w:color="auto"/>
            </w:tcBorders>
            <w:shd w:val="clear" w:color="auto" w:fill="auto"/>
            <w:noWrap/>
            <w:vAlign w:val="bottom"/>
            <w:hideMark/>
          </w:tcPr>
          <w:p w14:paraId="7115A329"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662155E0"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40 000</w:t>
            </w:r>
          </w:p>
        </w:tc>
      </w:tr>
      <w:tr w:rsidR="00A960AE" w:rsidRPr="00A960AE" w14:paraId="744D46ED"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19D6FC95"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lastRenderedPageBreak/>
              <w:t>03/12/2019</w:t>
            </w:r>
          </w:p>
        </w:tc>
        <w:tc>
          <w:tcPr>
            <w:tcW w:w="1480" w:type="dxa"/>
            <w:tcBorders>
              <w:top w:val="nil"/>
              <w:left w:val="nil"/>
              <w:bottom w:val="nil"/>
              <w:right w:val="nil"/>
            </w:tcBorders>
            <w:shd w:val="clear" w:color="auto" w:fill="auto"/>
            <w:noWrap/>
            <w:vAlign w:val="bottom"/>
            <w:hideMark/>
          </w:tcPr>
          <w:p w14:paraId="67A48F4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2F18BA7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nil"/>
              <w:right w:val="single" w:sz="4" w:space="0" w:color="auto"/>
            </w:tcBorders>
            <w:shd w:val="clear" w:color="auto" w:fill="auto"/>
            <w:noWrap/>
            <w:vAlign w:val="bottom"/>
            <w:hideMark/>
          </w:tcPr>
          <w:p w14:paraId="62B6E2EA"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365 944 € </w:t>
            </w:r>
          </w:p>
        </w:tc>
        <w:tc>
          <w:tcPr>
            <w:tcW w:w="1251" w:type="dxa"/>
            <w:tcBorders>
              <w:top w:val="nil"/>
              <w:left w:val="nil"/>
              <w:bottom w:val="nil"/>
              <w:right w:val="single" w:sz="4" w:space="0" w:color="auto"/>
            </w:tcBorders>
            <w:shd w:val="clear" w:color="auto" w:fill="auto"/>
            <w:noWrap/>
            <w:vAlign w:val="bottom"/>
            <w:hideMark/>
          </w:tcPr>
          <w:p w14:paraId="1D2C09DF"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3D8361D7"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100 000</w:t>
            </w:r>
          </w:p>
        </w:tc>
      </w:tr>
      <w:tr w:rsidR="00A960AE" w:rsidRPr="00A960AE" w14:paraId="637D5164" w14:textId="77777777" w:rsidTr="004865FE">
        <w:trPr>
          <w:trHeight w:val="288"/>
        </w:trPr>
        <w:tc>
          <w:tcPr>
            <w:tcW w:w="1240" w:type="dxa"/>
            <w:tcBorders>
              <w:top w:val="nil"/>
              <w:left w:val="single" w:sz="4" w:space="0" w:color="auto"/>
              <w:bottom w:val="nil"/>
              <w:right w:val="nil"/>
            </w:tcBorders>
            <w:shd w:val="clear" w:color="auto" w:fill="auto"/>
            <w:noWrap/>
            <w:vAlign w:val="bottom"/>
            <w:hideMark/>
          </w:tcPr>
          <w:p w14:paraId="53A6D96C"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13/12/2019</w:t>
            </w:r>
          </w:p>
        </w:tc>
        <w:tc>
          <w:tcPr>
            <w:tcW w:w="1480" w:type="dxa"/>
            <w:tcBorders>
              <w:top w:val="nil"/>
              <w:left w:val="nil"/>
              <w:bottom w:val="nil"/>
              <w:right w:val="nil"/>
            </w:tcBorders>
            <w:shd w:val="clear" w:color="auto" w:fill="auto"/>
            <w:noWrap/>
            <w:vAlign w:val="bottom"/>
            <w:hideMark/>
          </w:tcPr>
          <w:p w14:paraId="42EFF0A8"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NATIXIS</w:t>
            </w:r>
          </w:p>
        </w:tc>
        <w:tc>
          <w:tcPr>
            <w:tcW w:w="517" w:type="dxa"/>
            <w:tcBorders>
              <w:top w:val="nil"/>
              <w:left w:val="nil"/>
              <w:bottom w:val="nil"/>
              <w:right w:val="nil"/>
            </w:tcBorders>
            <w:shd w:val="clear" w:color="auto" w:fill="auto"/>
            <w:noWrap/>
            <w:vAlign w:val="bottom"/>
            <w:hideMark/>
          </w:tcPr>
          <w:p w14:paraId="09F03081"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V</w:t>
            </w:r>
          </w:p>
        </w:tc>
        <w:tc>
          <w:tcPr>
            <w:tcW w:w="1077" w:type="dxa"/>
            <w:tcBorders>
              <w:top w:val="nil"/>
              <w:left w:val="nil"/>
              <w:bottom w:val="nil"/>
              <w:right w:val="single" w:sz="4" w:space="0" w:color="auto"/>
            </w:tcBorders>
            <w:shd w:val="clear" w:color="auto" w:fill="auto"/>
            <w:noWrap/>
            <w:vAlign w:val="bottom"/>
            <w:hideMark/>
          </w:tcPr>
          <w:p w14:paraId="5E8185A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555 730 € </w:t>
            </w:r>
          </w:p>
        </w:tc>
        <w:tc>
          <w:tcPr>
            <w:tcW w:w="1251" w:type="dxa"/>
            <w:tcBorders>
              <w:top w:val="nil"/>
              <w:left w:val="nil"/>
              <w:bottom w:val="nil"/>
              <w:right w:val="single" w:sz="4" w:space="0" w:color="auto"/>
            </w:tcBorders>
            <w:shd w:val="clear" w:color="auto" w:fill="auto"/>
            <w:noWrap/>
            <w:vAlign w:val="bottom"/>
            <w:hideMark/>
          </w:tcPr>
          <w:p w14:paraId="29F21C42"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FR0000120685</w:t>
            </w:r>
          </w:p>
        </w:tc>
        <w:tc>
          <w:tcPr>
            <w:tcW w:w="923" w:type="dxa"/>
            <w:tcBorders>
              <w:top w:val="nil"/>
              <w:left w:val="nil"/>
              <w:bottom w:val="nil"/>
              <w:right w:val="single" w:sz="4" w:space="0" w:color="auto"/>
            </w:tcBorders>
            <w:shd w:val="clear" w:color="auto" w:fill="auto"/>
            <w:noWrap/>
            <w:vAlign w:val="bottom"/>
            <w:hideMark/>
          </w:tcPr>
          <w:p w14:paraId="4832E4B8"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140 000</w:t>
            </w:r>
          </w:p>
        </w:tc>
      </w:tr>
      <w:tr w:rsidR="00A960AE" w:rsidRPr="00A960AE" w14:paraId="6B541E9C" w14:textId="77777777" w:rsidTr="004865FE">
        <w:trPr>
          <w:trHeight w:val="288"/>
        </w:trPr>
        <w:tc>
          <w:tcPr>
            <w:tcW w:w="1240" w:type="dxa"/>
            <w:tcBorders>
              <w:top w:val="nil"/>
              <w:left w:val="single" w:sz="4" w:space="0" w:color="auto"/>
              <w:bottom w:val="single" w:sz="4" w:space="0" w:color="auto"/>
              <w:right w:val="nil"/>
            </w:tcBorders>
            <w:shd w:val="clear" w:color="auto" w:fill="auto"/>
            <w:noWrap/>
            <w:vAlign w:val="bottom"/>
            <w:hideMark/>
          </w:tcPr>
          <w:p w14:paraId="59A84E68"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20/12/2019</w:t>
            </w:r>
          </w:p>
        </w:tc>
        <w:tc>
          <w:tcPr>
            <w:tcW w:w="1480" w:type="dxa"/>
            <w:tcBorders>
              <w:top w:val="nil"/>
              <w:left w:val="nil"/>
              <w:bottom w:val="single" w:sz="4" w:space="0" w:color="auto"/>
              <w:right w:val="nil"/>
            </w:tcBorders>
            <w:shd w:val="clear" w:color="auto" w:fill="auto"/>
            <w:noWrap/>
            <w:vAlign w:val="bottom"/>
            <w:hideMark/>
          </w:tcPr>
          <w:p w14:paraId="28D4C6E5"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Renault</w:t>
            </w:r>
          </w:p>
        </w:tc>
        <w:tc>
          <w:tcPr>
            <w:tcW w:w="517" w:type="dxa"/>
            <w:tcBorders>
              <w:top w:val="nil"/>
              <w:left w:val="nil"/>
              <w:bottom w:val="single" w:sz="4" w:space="0" w:color="auto"/>
              <w:right w:val="nil"/>
            </w:tcBorders>
            <w:shd w:val="clear" w:color="auto" w:fill="auto"/>
            <w:noWrap/>
            <w:vAlign w:val="bottom"/>
            <w:hideMark/>
          </w:tcPr>
          <w:p w14:paraId="05DF143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A</w:t>
            </w:r>
          </w:p>
        </w:tc>
        <w:tc>
          <w:tcPr>
            <w:tcW w:w="1077" w:type="dxa"/>
            <w:tcBorders>
              <w:top w:val="nil"/>
              <w:left w:val="nil"/>
              <w:bottom w:val="single" w:sz="4" w:space="0" w:color="auto"/>
              <w:right w:val="single" w:sz="4" w:space="0" w:color="auto"/>
            </w:tcBorders>
            <w:shd w:val="clear" w:color="auto" w:fill="auto"/>
            <w:noWrap/>
            <w:vAlign w:val="bottom"/>
            <w:hideMark/>
          </w:tcPr>
          <w:p w14:paraId="5A1821D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 xml:space="preserve">   131 937 € </w:t>
            </w:r>
          </w:p>
        </w:tc>
        <w:tc>
          <w:tcPr>
            <w:tcW w:w="1251" w:type="dxa"/>
            <w:tcBorders>
              <w:top w:val="nil"/>
              <w:left w:val="nil"/>
              <w:bottom w:val="single" w:sz="4" w:space="0" w:color="auto"/>
              <w:right w:val="single" w:sz="4" w:space="0" w:color="auto"/>
            </w:tcBorders>
            <w:shd w:val="clear" w:color="auto" w:fill="auto"/>
            <w:noWrap/>
            <w:vAlign w:val="bottom"/>
            <w:hideMark/>
          </w:tcPr>
          <w:p w14:paraId="6AD7A326"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FR0000131906</w:t>
            </w:r>
          </w:p>
        </w:tc>
        <w:tc>
          <w:tcPr>
            <w:tcW w:w="923" w:type="dxa"/>
            <w:tcBorders>
              <w:top w:val="nil"/>
              <w:left w:val="nil"/>
              <w:bottom w:val="single" w:sz="4" w:space="0" w:color="auto"/>
              <w:right w:val="single" w:sz="4" w:space="0" w:color="auto"/>
            </w:tcBorders>
            <w:shd w:val="clear" w:color="auto" w:fill="auto"/>
            <w:noWrap/>
            <w:vAlign w:val="bottom"/>
            <w:hideMark/>
          </w:tcPr>
          <w:p w14:paraId="6D9AEBC7" w14:textId="77777777" w:rsidR="00A960AE" w:rsidRPr="00A960AE" w:rsidRDefault="00A960AE" w:rsidP="00A960AE">
            <w:pPr>
              <w:spacing w:after="0" w:line="240" w:lineRule="auto"/>
              <w:jc w:val="right"/>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3 000</w:t>
            </w:r>
          </w:p>
        </w:tc>
      </w:tr>
    </w:tbl>
    <w:p w14:paraId="27BD2C0B" w14:textId="6A5D0A4B" w:rsidR="00A960AE" w:rsidRDefault="00A24870" w:rsidP="00A24870">
      <w:pPr>
        <w:jc w:val="both"/>
      </w:pPr>
      <w:r>
        <w:tab/>
      </w:r>
      <w:r w:rsidR="001035C4">
        <w:t xml:space="preserve">                   </w:t>
      </w:r>
      <w:r>
        <w:t xml:space="preserve">Mouvement sur les obligations : </w:t>
      </w:r>
    </w:p>
    <w:tbl>
      <w:tblPr>
        <w:tblW w:w="8773" w:type="dxa"/>
        <w:tblCellMar>
          <w:left w:w="70" w:type="dxa"/>
          <w:right w:w="70" w:type="dxa"/>
        </w:tblCellMar>
        <w:tblLook w:val="04A0" w:firstRow="1" w:lastRow="0" w:firstColumn="1" w:lastColumn="0" w:noHBand="0" w:noVBand="1"/>
      </w:tblPr>
      <w:tblGrid>
        <w:gridCol w:w="1240"/>
        <w:gridCol w:w="1600"/>
        <w:gridCol w:w="517"/>
        <w:gridCol w:w="1316"/>
        <w:gridCol w:w="80"/>
        <w:gridCol w:w="1160"/>
        <w:gridCol w:w="80"/>
        <w:gridCol w:w="1160"/>
        <w:gridCol w:w="80"/>
        <w:gridCol w:w="1460"/>
        <w:gridCol w:w="80"/>
      </w:tblGrid>
      <w:tr w:rsidR="00A960AE" w:rsidRPr="00A960AE" w14:paraId="6C768870" w14:textId="77777777" w:rsidTr="00A960AE">
        <w:trPr>
          <w:gridAfter w:val="1"/>
          <w:wAfter w:w="80" w:type="dxa"/>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D264E6"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DATE</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0175C04C"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VALEUR</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1D5ED716"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SENS</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14:paraId="5A6E38AA" w14:textId="77777777" w:rsidR="00A960AE" w:rsidRPr="00A960AE" w:rsidRDefault="00A960AE" w:rsidP="00A960AE">
            <w:pPr>
              <w:spacing w:after="0" w:line="240" w:lineRule="auto"/>
              <w:ind w:right="-70"/>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MONTANT</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80B6A6"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ISIN</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EBDB37"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QUANTITE</w:t>
            </w:r>
          </w:p>
        </w:tc>
        <w:tc>
          <w:tcPr>
            <w:tcW w:w="15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5AFCF" w14:textId="77777777" w:rsidR="00A960AE" w:rsidRPr="00A960AE" w:rsidRDefault="00A960AE" w:rsidP="00A960AE">
            <w:pPr>
              <w:spacing w:after="0" w:line="240" w:lineRule="auto"/>
              <w:jc w:val="center"/>
              <w:rPr>
                <w:rFonts w:ascii="Calibri" w:eastAsia="Times New Roman" w:hAnsi="Calibri" w:cs="Calibri"/>
                <w:b/>
                <w:bCs/>
                <w:color w:val="000000"/>
                <w:sz w:val="18"/>
                <w:szCs w:val="18"/>
                <w:lang w:eastAsia="fr-FR"/>
              </w:rPr>
            </w:pPr>
            <w:r w:rsidRPr="00A960AE">
              <w:rPr>
                <w:rFonts w:ascii="Calibri" w:eastAsia="Times New Roman" w:hAnsi="Calibri" w:cs="Calibri"/>
                <w:b/>
                <w:bCs/>
                <w:color w:val="000000"/>
                <w:sz w:val="18"/>
                <w:szCs w:val="18"/>
                <w:lang w:eastAsia="fr-FR"/>
              </w:rPr>
              <w:t>DATE MATURITE</w:t>
            </w:r>
          </w:p>
        </w:tc>
      </w:tr>
      <w:tr w:rsidR="00A960AE" w:rsidRPr="00A960AE" w14:paraId="5FD0126B" w14:textId="77777777" w:rsidTr="00A960AE">
        <w:trPr>
          <w:trHeight w:val="288"/>
        </w:trPr>
        <w:tc>
          <w:tcPr>
            <w:tcW w:w="1240" w:type="dxa"/>
            <w:tcBorders>
              <w:top w:val="nil"/>
              <w:left w:val="single" w:sz="4" w:space="0" w:color="auto"/>
              <w:bottom w:val="nil"/>
              <w:right w:val="single" w:sz="4" w:space="0" w:color="auto"/>
            </w:tcBorders>
            <w:shd w:val="clear" w:color="000000" w:fill="FFFFFF"/>
            <w:noWrap/>
            <w:vAlign w:val="center"/>
            <w:hideMark/>
          </w:tcPr>
          <w:p w14:paraId="1A5D34A4"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18/11/2019</w:t>
            </w:r>
          </w:p>
        </w:tc>
        <w:tc>
          <w:tcPr>
            <w:tcW w:w="1600" w:type="dxa"/>
            <w:tcBorders>
              <w:top w:val="nil"/>
              <w:left w:val="nil"/>
              <w:bottom w:val="nil"/>
              <w:right w:val="single" w:sz="4" w:space="0" w:color="auto"/>
            </w:tcBorders>
            <w:shd w:val="clear" w:color="000000" w:fill="FFFFFF"/>
            <w:noWrap/>
            <w:vAlign w:val="center"/>
            <w:hideMark/>
          </w:tcPr>
          <w:p w14:paraId="04B9261D" w14:textId="77777777" w:rsidR="00A960AE" w:rsidRPr="00A960AE" w:rsidRDefault="00A960AE" w:rsidP="00A960AE">
            <w:pPr>
              <w:spacing w:after="0" w:line="240" w:lineRule="auto"/>
              <w:rPr>
                <w:rFonts w:ascii="Arial" w:eastAsia="Times New Roman" w:hAnsi="Arial" w:cs="Arial"/>
                <w:sz w:val="16"/>
                <w:szCs w:val="16"/>
                <w:lang w:eastAsia="fr-FR"/>
              </w:rPr>
            </w:pPr>
            <w:r w:rsidRPr="00A960AE">
              <w:rPr>
                <w:rFonts w:ascii="Arial" w:eastAsia="Times New Roman" w:hAnsi="Arial" w:cs="Arial"/>
                <w:sz w:val="16"/>
                <w:szCs w:val="16"/>
                <w:lang w:eastAsia="fr-FR"/>
              </w:rPr>
              <w:t>Tikehau 3</w:t>
            </w:r>
          </w:p>
        </w:tc>
        <w:tc>
          <w:tcPr>
            <w:tcW w:w="517" w:type="dxa"/>
            <w:tcBorders>
              <w:top w:val="nil"/>
              <w:left w:val="nil"/>
              <w:bottom w:val="nil"/>
              <w:right w:val="single" w:sz="4" w:space="0" w:color="auto"/>
            </w:tcBorders>
            <w:shd w:val="clear" w:color="000000" w:fill="FFFFFF"/>
            <w:noWrap/>
            <w:vAlign w:val="center"/>
            <w:hideMark/>
          </w:tcPr>
          <w:p w14:paraId="4DF7D24B"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A</w:t>
            </w:r>
          </w:p>
        </w:tc>
        <w:tc>
          <w:tcPr>
            <w:tcW w:w="1396" w:type="dxa"/>
            <w:gridSpan w:val="2"/>
            <w:tcBorders>
              <w:top w:val="nil"/>
              <w:left w:val="nil"/>
              <w:bottom w:val="nil"/>
              <w:right w:val="single" w:sz="4" w:space="0" w:color="auto"/>
            </w:tcBorders>
            <w:shd w:val="clear" w:color="000000" w:fill="FFFFFF"/>
            <w:noWrap/>
            <w:vAlign w:val="center"/>
            <w:hideMark/>
          </w:tcPr>
          <w:p w14:paraId="374B6415"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         326 677 € </w:t>
            </w:r>
          </w:p>
        </w:tc>
        <w:tc>
          <w:tcPr>
            <w:tcW w:w="1240" w:type="dxa"/>
            <w:gridSpan w:val="2"/>
            <w:tcBorders>
              <w:top w:val="nil"/>
              <w:left w:val="nil"/>
              <w:bottom w:val="nil"/>
              <w:right w:val="single" w:sz="4" w:space="0" w:color="auto"/>
            </w:tcBorders>
            <w:shd w:val="clear" w:color="000000" w:fill="FFFFFF"/>
            <w:noWrap/>
            <w:vAlign w:val="center"/>
            <w:hideMark/>
          </w:tcPr>
          <w:p w14:paraId="624B557D"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FR0013298890</w:t>
            </w:r>
          </w:p>
        </w:tc>
        <w:tc>
          <w:tcPr>
            <w:tcW w:w="1240" w:type="dxa"/>
            <w:gridSpan w:val="2"/>
            <w:tcBorders>
              <w:top w:val="nil"/>
              <w:left w:val="nil"/>
              <w:bottom w:val="nil"/>
              <w:right w:val="single" w:sz="4" w:space="0" w:color="auto"/>
            </w:tcBorders>
            <w:shd w:val="clear" w:color="000000" w:fill="FFFFFF"/>
            <w:noWrap/>
            <w:vAlign w:val="center"/>
            <w:hideMark/>
          </w:tcPr>
          <w:p w14:paraId="7F1B90C5"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300 000</w:t>
            </w:r>
          </w:p>
        </w:tc>
        <w:tc>
          <w:tcPr>
            <w:tcW w:w="1540" w:type="dxa"/>
            <w:gridSpan w:val="2"/>
            <w:tcBorders>
              <w:top w:val="nil"/>
              <w:left w:val="nil"/>
              <w:bottom w:val="nil"/>
              <w:right w:val="single" w:sz="4" w:space="0" w:color="auto"/>
            </w:tcBorders>
            <w:shd w:val="clear" w:color="000000" w:fill="FFFFFF"/>
            <w:noWrap/>
            <w:vAlign w:val="center"/>
            <w:hideMark/>
          </w:tcPr>
          <w:p w14:paraId="5F8DD92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27/11/2023</w:t>
            </w:r>
          </w:p>
        </w:tc>
      </w:tr>
      <w:tr w:rsidR="00A960AE" w:rsidRPr="00A960AE" w14:paraId="3E78AF35" w14:textId="77777777" w:rsidTr="00A960AE">
        <w:trPr>
          <w:trHeight w:val="288"/>
        </w:trPr>
        <w:tc>
          <w:tcPr>
            <w:tcW w:w="1240" w:type="dxa"/>
            <w:tcBorders>
              <w:top w:val="nil"/>
              <w:left w:val="single" w:sz="4" w:space="0" w:color="auto"/>
              <w:bottom w:val="nil"/>
              <w:right w:val="single" w:sz="4" w:space="0" w:color="auto"/>
            </w:tcBorders>
            <w:shd w:val="clear" w:color="000000" w:fill="FFFFFF"/>
            <w:noWrap/>
            <w:vAlign w:val="center"/>
            <w:hideMark/>
          </w:tcPr>
          <w:p w14:paraId="4C5F72A1"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19/11/2019</w:t>
            </w:r>
          </w:p>
        </w:tc>
        <w:tc>
          <w:tcPr>
            <w:tcW w:w="1600" w:type="dxa"/>
            <w:tcBorders>
              <w:top w:val="nil"/>
              <w:left w:val="nil"/>
              <w:bottom w:val="nil"/>
              <w:right w:val="single" w:sz="4" w:space="0" w:color="auto"/>
            </w:tcBorders>
            <w:shd w:val="clear" w:color="000000" w:fill="FFFFFF"/>
            <w:noWrap/>
            <w:vAlign w:val="center"/>
            <w:hideMark/>
          </w:tcPr>
          <w:p w14:paraId="04BD6994" w14:textId="77777777" w:rsidR="00A960AE" w:rsidRPr="00A960AE" w:rsidRDefault="00A960AE" w:rsidP="00A960AE">
            <w:pPr>
              <w:spacing w:after="0" w:line="240" w:lineRule="auto"/>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BFCM </w:t>
            </w:r>
            <w:proofErr w:type="spellStart"/>
            <w:r w:rsidRPr="00A960AE">
              <w:rPr>
                <w:rFonts w:ascii="Arial" w:eastAsia="Times New Roman" w:hAnsi="Arial" w:cs="Arial"/>
                <w:sz w:val="16"/>
                <w:szCs w:val="16"/>
                <w:lang w:eastAsia="fr-FR"/>
              </w:rPr>
              <w:t>Float</w:t>
            </w:r>
            <w:proofErr w:type="spellEnd"/>
            <w:r w:rsidRPr="00A960AE">
              <w:rPr>
                <w:rFonts w:ascii="Arial" w:eastAsia="Times New Roman" w:hAnsi="Arial" w:cs="Arial"/>
                <w:sz w:val="16"/>
                <w:szCs w:val="16"/>
                <w:lang w:eastAsia="fr-FR"/>
              </w:rPr>
              <w:t xml:space="preserve"> Perp</w:t>
            </w:r>
          </w:p>
        </w:tc>
        <w:tc>
          <w:tcPr>
            <w:tcW w:w="517" w:type="dxa"/>
            <w:tcBorders>
              <w:top w:val="nil"/>
              <w:left w:val="nil"/>
              <w:bottom w:val="nil"/>
              <w:right w:val="single" w:sz="4" w:space="0" w:color="auto"/>
            </w:tcBorders>
            <w:shd w:val="clear" w:color="000000" w:fill="FFFFFF"/>
            <w:noWrap/>
            <w:vAlign w:val="center"/>
            <w:hideMark/>
          </w:tcPr>
          <w:p w14:paraId="7187F322"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V</w:t>
            </w:r>
          </w:p>
        </w:tc>
        <w:tc>
          <w:tcPr>
            <w:tcW w:w="1396" w:type="dxa"/>
            <w:gridSpan w:val="2"/>
            <w:tcBorders>
              <w:top w:val="nil"/>
              <w:left w:val="nil"/>
              <w:bottom w:val="nil"/>
              <w:right w:val="single" w:sz="4" w:space="0" w:color="auto"/>
            </w:tcBorders>
            <w:shd w:val="clear" w:color="000000" w:fill="FFFFFF"/>
            <w:noWrap/>
            <w:vAlign w:val="center"/>
            <w:hideMark/>
          </w:tcPr>
          <w:p w14:paraId="07874B2D"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         147 319 € </w:t>
            </w:r>
          </w:p>
        </w:tc>
        <w:tc>
          <w:tcPr>
            <w:tcW w:w="1240" w:type="dxa"/>
            <w:gridSpan w:val="2"/>
            <w:tcBorders>
              <w:top w:val="nil"/>
              <w:left w:val="nil"/>
              <w:bottom w:val="nil"/>
              <w:right w:val="single" w:sz="4" w:space="0" w:color="auto"/>
            </w:tcBorders>
            <w:shd w:val="clear" w:color="000000" w:fill="FFFFFF"/>
            <w:noWrap/>
            <w:vAlign w:val="center"/>
            <w:hideMark/>
          </w:tcPr>
          <w:p w14:paraId="6C5BBF82"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XS0207764712</w:t>
            </w:r>
          </w:p>
        </w:tc>
        <w:tc>
          <w:tcPr>
            <w:tcW w:w="1240" w:type="dxa"/>
            <w:gridSpan w:val="2"/>
            <w:tcBorders>
              <w:top w:val="nil"/>
              <w:left w:val="nil"/>
              <w:bottom w:val="nil"/>
              <w:right w:val="single" w:sz="4" w:space="0" w:color="auto"/>
            </w:tcBorders>
            <w:shd w:val="clear" w:color="000000" w:fill="FFFFFF"/>
            <w:noWrap/>
            <w:vAlign w:val="center"/>
            <w:hideMark/>
          </w:tcPr>
          <w:p w14:paraId="16CEC6F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200 000</w:t>
            </w:r>
          </w:p>
        </w:tc>
        <w:tc>
          <w:tcPr>
            <w:tcW w:w="1540" w:type="dxa"/>
            <w:gridSpan w:val="2"/>
            <w:tcBorders>
              <w:top w:val="nil"/>
              <w:left w:val="nil"/>
              <w:bottom w:val="nil"/>
              <w:right w:val="single" w:sz="4" w:space="0" w:color="auto"/>
            </w:tcBorders>
            <w:shd w:val="clear" w:color="000000" w:fill="FFFFFF"/>
            <w:noWrap/>
            <w:vAlign w:val="center"/>
            <w:hideMark/>
          </w:tcPr>
          <w:p w14:paraId="15B43C44"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Perp Call 2049</w:t>
            </w:r>
          </w:p>
        </w:tc>
      </w:tr>
      <w:tr w:rsidR="00A960AE" w:rsidRPr="00A960AE" w14:paraId="21DEB5FC" w14:textId="77777777" w:rsidTr="00A960AE">
        <w:trPr>
          <w:trHeight w:val="288"/>
        </w:trPr>
        <w:tc>
          <w:tcPr>
            <w:tcW w:w="1240" w:type="dxa"/>
            <w:tcBorders>
              <w:top w:val="nil"/>
              <w:left w:val="single" w:sz="4" w:space="0" w:color="auto"/>
              <w:bottom w:val="nil"/>
              <w:right w:val="single" w:sz="4" w:space="0" w:color="auto"/>
            </w:tcBorders>
            <w:shd w:val="clear" w:color="000000" w:fill="FFFFFF"/>
            <w:noWrap/>
            <w:vAlign w:val="center"/>
            <w:hideMark/>
          </w:tcPr>
          <w:p w14:paraId="36E64811"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20/11/2019</w:t>
            </w:r>
          </w:p>
        </w:tc>
        <w:tc>
          <w:tcPr>
            <w:tcW w:w="1600" w:type="dxa"/>
            <w:tcBorders>
              <w:top w:val="nil"/>
              <w:left w:val="nil"/>
              <w:bottom w:val="nil"/>
              <w:right w:val="single" w:sz="4" w:space="0" w:color="auto"/>
            </w:tcBorders>
            <w:shd w:val="clear" w:color="000000" w:fill="FFFFFF"/>
            <w:noWrap/>
            <w:vAlign w:val="center"/>
            <w:hideMark/>
          </w:tcPr>
          <w:p w14:paraId="3B67766A" w14:textId="77777777" w:rsidR="00A960AE" w:rsidRPr="00A960AE" w:rsidRDefault="00A960AE" w:rsidP="00A960AE">
            <w:pPr>
              <w:spacing w:after="0" w:line="240" w:lineRule="auto"/>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Repsol 3 7/8% </w:t>
            </w:r>
            <w:proofErr w:type="spellStart"/>
            <w:r w:rsidRPr="00A960AE">
              <w:rPr>
                <w:rFonts w:ascii="Arial" w:eastAsia="Times New Roman" w:hAnsi="Arial" w:cs="Arial"/>
                <w:sz w:val="16"/>
                <w:szCs w:val="16"/>
                <w:lang w:eastAsia="fr-FR"/>
              </w:rPr>
              <w:t>Hybrid</w:t>
            </w:r>
            <w:proofErr w:type="spellEnd"/>
          </w:p>
        </w:tc>
        <w:tc>
          <w:tcPr>
            <w:tcW w:w="517" w:type="dxa"/>
            <w:tcBorders>
              <w:top w:val="nil"/>
              <w:left w:val="nil"/>
              <w:bottom w:val="nil"/>
              <w:right w:val="single" w:sz="4" w:space="0" w:color="auto"/>
            </w:tcBorders>
            <w:shd w:val="clear" w:color="000000" w:fill="FFFFFF"/>
            <w:noWrap/>
            <w:vAlign w:val="center"/>
            <w:hideMark/>
          </w:tcPr>
          <w:p w14:paraId="0B3689DE"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V</w:t>
            </w:r>
          </w:p>
        </w:tc>
        <w:tc>
          <w:tcPr>
            <w:tcW w:w="1396" w:type="dxa"/>
            <w:gridSpan w:val="2"/>
            <w:tcBorders>
              <w:top w:val="nil"/>
              <w:left w:val="nil"/>
              <w:bottom w:val="nil"/>
              <w:right w:val="single" w:sz="4" w:space="0" w:color="auto"/>
            </w:tcBorders>
            <w:shd w:val="clear" w:color="000000" w:fill="FFFFFF"/>
            <w:noWrap/>
            <w:vAlign w:val="center"/>
            <w:hideMark/>
          </w:tcPr>
          <w:p w14:paraId="4653B675"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         213 524 € </w:t>
            </w:r>
          </w:p>
        </w:tc>
        <w:tc>
          <w:tcPr>
            <w:tcW w:w="1240" w:type="dxa"/>
            <w:gridSpan w:val="2"/>
            <w:tcBorders>
              <w:top w:val="nil"/>
              <w:left w:val="nil"/>
              <w:bottom w:val="nil"/>
              <w:right w:val="single" w:sz="4" w:space="0" w:color="auto"/>
            </w:tcBorders>
            <w:shd w:val="clear" w:color="000000" w:fill="FFFFFF"/>
            <w:noWrap/>
            <w:vAlign w:val="center"/>
            <w:hideMark/>
          </w:tcPr>
          <w:p w14:paraId="148B71CF"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XS1207054666</w:t>
            </w:r>
          </w:p>
        </w:tc>
        <w:tc>
          <w:tcPr>
            <w:tcW w:w="1240" w:type="dxa"/>
            <w:gridSpan w:val="2"/>
            <w:tcBorders>
              <w:top w:val="nil"/>
              <w:left w:val="nil"/>
              <w:bottom w:val="nil"/>
              <w:right w:val="single" w:sz="4" w:space="0" w:color="auto"/>
            </w:tcBorders>
            <w:shd w:val="clear" w:color="000000" w:fill="FFFFFF"/>
            <w:noWrap/>
            <w:vAlign w:val="center"/>
            <w:hideMark/>
          </w:tcPr>
          <w:p w14:paraId="4499DAB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200 000</w:t>
            </w:r>
          </w:p>
        </w:tc>
        <w:tc>
          <w:tcPr>
            <w:tcW w:w="1540" w:type="dxa"/>
            <w:gridSpan w:val="2"/>
            <w:tcBorders>
              <w:top w:val="nil"/>
              <w:left w:val="nil"/>
              <w:bottom w:val="nil"/>
              <w:right w:val="single" w:sz="4" w:space="0" w:color="auto"/>
            </w:tcBorders>
            <w:shd w:val="clear" w:color="000000" w:fill="FFFFFF"/>
            <w:noWrap/>
            <w:vAlign w:val="center"/>
            <w:hideMark/>
          </w:tcPr>
          <w:p w14:paraId="5D690B2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Perp call 2021</w:t>
            </w:r>
          </w:p>
        </w:tc>
      </w:tr>
      <w:tr w:rsidR="00A960AE" w:rsidRPr="00A960AE" w14:paraId="75B3B268" w14:textId="77777777" w:rsidTr="00A960AE">
        <w:trPr>
          <w:trHeight w:val="288"/>
        </w:trPr>
        <w:tc>
          <w:tcPr>
            <w:tcW w:w="1240" w:type="dxa"/>
            <w:tcBorders>
              <w:top w:val="nil"/>
              <w:left w:val="single" w:sz="4" w:space="0" w:color="auto"/>
              <w:bottom w:val="nil"/>
              <w:right w:val="single" w:sz="4" w:space="0" w:color="auto"/>
            </w:tcBorders>
            <w:shd w:val="clear" w:color="000000" w:fill="FFFFFF"/>
            <w:noWrap/>
            <w:vAlign w:val="center"/>
            <w:hideMark/>
          </w:tcPr>
          <w:p w14:paraId="77F848F4"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26/11/2019</w:t>
            </w:r>
          </w:p>
        </w:tc>
        <w:tc>
          <w:tcPr>
            <w:tcW w:w="1600" w:type="dxa"/>
            <w:tcBorders>
              <w:top w:val="nil"/>
              <w:left w:val="nil"/>
              <w:bottom w:val="nil"/>
              <w:right w:val="single" w:sz="4" w:space="0" w:color="auto"/>
            </w:tcBorders>
            <w:shd w:val="clear" w:color="000000" w:fill="FFFFFF"/>
            <w:noWrap/>
            <w:vAlign w:val="center"/>
            <w:hideMark/>
          </w:tcPr>
          <w:p w14:paraId="0B13B2A1" w14:textId="77777777" w:rsidR="00A960AE" w:rsidRPr="00A960AE" w:rsidRDefault="00A960AE" w:rsidP="00A960AE">
            <w:pPr>
              <w:spacing w:after="0" w:line="240" w:lineRule="auto"/>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Axa </w:t>
            </w:r>
            <w:proofErr w:type="spellStart"/>
            <w:r w:rsidRPr="00A960AE">
              <w:rPr>
                <w:rFonts w:ascii="Arial" w:eastAsia="Times New Roman" w:hAnsi="Arial" w:cs="Arial"/>
                <w:sz w:val="16"/>
                <w:szCs w:val="16"/>
                <w:lang w:eastAsia="fr-FR"/>
              </w:rPr>
              <w:t>Float</w:t>
            </w:r>
            <w:proofErr w:type="spellEnd"/>
            <w:r w:rsidRPr="00A960AE">
              <w:rPr>
                <w:rFonts w:ascii="Arial" w:eastAsia="Times New Roman" w:hAnsi="Arial" w:cs="Arial"/>
                <w:sz w:val="16"/>
                <w:szCs w:val="16"/>
                <w:lang w:eastAsia="fr-FR"/>
              </w:rPr>
              <w:t xml:space="preserve"> Perp</w:t>
            </w:r>
          </w:p>
        </w:tc>
        <w:tc>
          <w:tcPr>
            <w:tcW w:w="517" w:type="dxa"/>
            <w:tcBorders>
              <w:top w:val="nil"/>
              <w:left w:val="nil"/>
              <w:bottom w:val="nil"/>
              <w:right w:val="single" w:sz="4" w:space="0" w:color="auto"/>
            </w:tcBorders>
            <w:shd w:val="clear" w:color="000000" w:fill="FFFFFF"/>
            <w:noWrap/>
            <w:vAlign w:val="center"/>
            <w:hideMark/>
          </w:tcPr>
          <w:p w14:paraId="0DB872E1"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V</w:t>
            </w:r>
          </w:p>
        </w:tc>
        <w:tc>
          <w:tcPr>
            <w:tcW w:w="1396" w:type="dxa"/>
            <w:gridSpan w:val="2"/>
            <w:tcBorders>
              <w:top w:val="nil"/>
              <w:left w:val="nil"/>
              <w:bottom w:val="nil"/>
              <w:right w:val="single" w:sz="4" w:space="0" w:color="auto"/>
            </w:tcBorders>
            <w:shd w:val="clear" w:color="000000" w:fill="FFFFFF"/>
            <w:noWrap/>
            <w:vAlign w:val="center"/>
            <w:hideMark/>
          </w:tcPr>
          <w:p w14:paraId="781BD18A"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         159 500 € </w:t>
            </w:r>
          </w:p>
        </w:tc>
        <w:tc>
          <w:tcPr>
            <w:tcW w:w="1240" w:type="dxa"/>
            <w:gridSpan w:val="2"/>
            <w:tcBorders>
              <w:top w:val="nil"/>
              <w:left w:val="nil"/>
              <w:bottom w:val="nil"/>
              <w:right w:val="single" w:sz="4" w:space="0" w:color="auto"/>
            </w:tcBorders>
            <w:shd w:val="clear" w:color="000000" w:fill="FFFFFF"/>
            <w:noWrap/>
            <w:vAlign w:val="center"/>
            <w:hideMark/>
          </w:tcPr>
          <w:p w14:paraId="5E4296FD"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XS0181369454</w:t>
            </w:r>
          </w:p>
        </w:tc>
        <w:tc>
          <w:tcPr>
            <w:tcW w:w="1240" w:type="dxa"/>
            <w:gridSpan w:val="2"/>
            <w:tcBorders>
              <w:top w:val="nil"/>
              <w:left w:val="nil"/>
              <w:bottom w:val="nil"/>
              <w:right w:val="single" w:sz="4" w:space="0" w:color="auto"/>
            </w:tcBorders>
            <w:shd w:val="clear" w:color="000000" w:fill="FFFFFF"/>
            <w:noWrap/>
            <w:vAlign w:val="center"/>
            <w:hideMark/>
          </w:tcPr>
          <w:p w14:paraId="3BA74B7E"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200 000</w:t>
            </w:r>
          </w:p>
        </w:tc>
        <w:tc>
          <w:tcPr>
            <w:tcW w:w="1540" w:type="dxa"/>
            <w:gridSpan w:val="2"/>
            <w:tcBorders>
              <w:top w:val="nil"/>
              <w:left w:val="nil"/>
              <w:bottom w:val="nil"/>
              <w:right w:val="single" w:sz="4" w:space="0" w:color="auto"/>
            </w:tcBorders>
            <w:shd w:val="clear" w:color="000000" w:fill="FFFFFF"/>
            <w:noWrap/>
            <w:vAlign w:val="center"/>
            <w:hideMark/>
          </w:tcPr>
          <w:p w14:paraId="1C07E39D"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Perp</w:t>
            </w:r>
          </w:p>
        </w:tc>
      </w:tr>
      <w:tr w:rsidR="00A960AE" w:rsidRPr="00A960AE" w14:paraId="3FE335B2" w14:textId="77777777" w:rsidTr="00A960AE">
        <w:trPr>
          <w:trHeight w:val="288"/>
        </w:trPr>
        <w:tc>
          <w:tcPr>
            <w:tcW w:w="1240" w:type="dxa"/>
            <w:tcBorders>
              <w:top w:val="nil"/>
              <w:left w:val="single" w:sz="4" w:space="0" w:color="auto"/>
              <w:bottom w:val="nil"/>
              <w:right w:val="single" w:sz="4" w:space="0" w:color="auto"/>
            </w:tcBorders>
            <w:shd w:val="clear" w:color="000000" w:fill="FFFFFF"/>
            <w:noWrap/>
            <w:vAlign w:val="center"/>
            <w:hideMark/>
          </w:tcPr>
          <w:p w14:paraId="09D03EB7"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26/11/2019</w:t>
            </w:r>
          </w:p>
        </w:tc>
        <w:tc>
          <w:tcPr>
            <w:tcW w:w="1600" w:type="dxa"/>
            <w:tcBorders>
              <w:top w:val="nil"/>
              <w:left w:val="nil"/>
              <w:bottom w:val="nil"/>
              <w:right w:val="single" w:sz="4" w:space="0" w:color="auto"/>
            </w:tcBorders>
            <w:shd w:val="clear" w:color="000000" w:fill="FFFFFF"/>
            <w:noWrap/>
            <w:vAlign w:val="center"/>
            <w:hideMark/>
          </w:tcPr>
          <w:p w14:paraId="15029A92" w14:textId="77777777" w:rsidR="00A960AE" w:rsidRPr="00A960AE" w:rsidRDefault="00A960AE" w:rsidP="00A960AE">
            <w:pPr>
              <w:spacing w:after="0" w:line="240" w:lineRule="auto"/>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Axa </w:t>
            </w:r>
            <w:proofErr w:type="spellStart"/>
            <w:r w:rsidRPr="00A960AE">
              <w:rPr>
                <w:rFonts w:ascii="Arial" w:eastAsia="Times New Roman" w:hAnsi="Arial" w:cs="Arial"/>
                <w:sz w:val="16"/>
                <w:szCs w:val="16"/>
                <w:lang w:eastAsia="fr-FR"/>
              </w:rPr>
              <w:t>Float</w:t>
            </w:r>
            <w:proofErr w:type="spellEnd"/>
            <w:r w:rsidRPr="00A960AE">
              <w:rPr>
                <w:rFonts w:ascii="Arial" w:eastAsia="Times New Roman" w:hAnsi="Arial" w:cs="Arial"/>
                <w:sz w:val="16"/>
                <w:szCs w:val="16"/>
                <w:lang w:eastAsia="fr-FR"/>
              </w:rPr>
              <w:t xml:space="preserve"> Perp</w:t>
            </w:r>
          </w:p>
        </w:tc>
        <w:tc>
          <w:tcPr>
            <w:tcW w:w="517" w:type="dxa"/>
            <w:tcBorders>
              <w:top w:val="nil"/>
              <w:left w:val="nil"/>
              <w:bottom w:val="nil"/>
              <w:right w:val="single" w:sz="4" w:space="0" w:color="auto"/>
            </w:tcBorders>
            <w:shd w:val="clear" w:color="000000" w:fill="FFFFFF"/>
            <w:noWrap/>
            <w:vAlign w:val="center"/>
            <w:hideMark/>
          </w:tcPr>
          <w:p w14:paraId="1FF08D56"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V</w:t>
            </w:r>
          </w:p>
        </w:tc>
        <w:tc>
          <w:tcPr>
            <w:tcW w:w="1396" w:type="dxa"/>
            <w:gridSpan w:val="2"/>
            <w:tcBorders>
              <w:top w:val="nil"/>
              <w:left w:val="nil"/>
              <w:bottom w:val="nil"/>
              <w:right w:val="single" w:sz="4" w:space="0" w:color="auto"/>
            </w:tcBorders>
            <w:shd w:val="clear" w:color="000000" w:fill="FFFFFF"/>
            <w:noWrap/>
            <w:vAlign w:val="center"/>
            <w:hideMark/>
          </w:tcPr>
          <w:p w14:paraId="6A6ADBDB"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           39 875 € </w:t>
            </w:r>
          </w:p>
        </w:tc>
        <w:tc>
          <w:tcPr>
            <w:tcW w:w="1240" w:type="dxa"/>
            <w:gridSpan w:val="2"/>
            <w:tcBorders>
              <w:top w:val="nil"/>
              <w:left w:val="nil"/>
              <w:bottom w:val="nil"/>
              <w:right w:val="single" w:sz="4" w:space="0" w:color="auto"/>
            </w:tcBorders>
            <w:shd w:val="clear" w:color="000000" w:fill="FFFFFF"/>
            <w:noWrap/>
            <w:vAlign w:val="center"/>
            <w:hideMark/>
          </w:tcPr>
          <w:p w14:paraId="20814291"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XS0181369454</w:t>
            </w:r>
          </w:p>
        </w:tc>
        <w:tc>
          <w:tcPr>
            <w:tcW w:w="1240" w:type="dxa"/>
            <w:gridSpan w:val="2"/>
            <w:tcBorders>
              <w:top w:val="nil"/>
              <w:left w:val="nil"/>
              <w:bottom w:val="nil"/>
              <w:right w:val="single" w:sz="4" w:space="0" w:color="auto"/>
            </w:tcBorders>
            <w:shd w:val="clear" w:color="000000" w:fill="FFFFFF"/>
            <w:noWrap/>
            <w:vAlign w:val="center"/>
            <w:hideMark/>
          </w:tcPr>
          <w:p w14:paraId="19E37EA2"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50 000</w:t>
            </w:r>
          </w:p>
        </w:tc>
        <w:tc>
          <w:tcPr>
            <w:tcW w:w="1540" w:type="dxa"/>
            <w:gridSpan w:val="2"/>
            <w:tcBorders>
              <w:top w:val="nil"/>
              <w:left w:val="nil"/>
              <w:bottom w:val="nil"/>
              <w:right w:val="single" w:sz="4" w:space="0" w:color="auto"/>
            </w:tcBorders>
            <w:shd w:val="clear" w:color="000000" w:fill="FFFFFF"/>
            <w:noWrap/>
            <w:vAlign w:val="center"/>
            <w:hideMark/>
          </w:tcPr>
          <w:p w14:paraId="477DCB0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Perp</w:t>
            </w:r>
          </w:p>
        </w:tc>
      </w:tr>
      <w:tr w:rsidR="00A960AE" w:rsidRPr="00A960AE" w14:paraId="7F1D358B" w14:textId="77777777" w:rsidTr="00A960AE">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A8FB932"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29/11/2019</w:t>
            </w:r>
          </w:p>
        </w:tc>
        <w:tc>
          <w:tcPr>
            <w:tcW w:w="1600" w:type="dxa"/>
            <w:tcBorders>
              <w:top w:val="nil"/>
              <w:left w:val="nil"/>
              <w:bottom w:val="single" w:sz="4" w:space="0" w:color="auto"/>
              <w:right w:val="single" w:sz="4" w:space="0" w:color="auto"/>
            </w:tcBorders>
            <w:shd w:val="clear" w:color="000000" w:fill="FFFFFF"/>
            <w:noWrap/>
            <w:vAlign w:val="center"/>
            <w:hideMark/>
          </w:tcPr>
          <w:p w14:paraId="46C06A3C" w14:textId="77777777" w:rsidR="00A960AE" w:rsidRPr="00A960AE" w:rsidRDefault="00A960AE" w:rsidP="00A960AE">
            <w:pPr>
              <w:spacing w:after="0" w:line="240" w:lineRule="auto"/>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Soc </w:t>
            </w:r>
            <w:proofErr w:type="spellStart"/>
            <w:r w:rsidRPr="00A960AE">
              <w:rPr>
                <w:rFonts w:ascii="Arial" w:eastAsia="Times New Roman" w:hAnsi="Arial" w:cs="Arial"/>
                <w:sz w:val="16"/>
                <w:szCs w:val="16"/>
                <w:lang w:eastAsia="fr-FR"/>
              </w:rPr>
              <w:t>Gen</w:t>
            </w:r>
            <w:proofErr w:type="spellEnd"/>
            <w:r w:rsidRPr="00A960AE">
              <w:rPr>
                <w:rFonts w:ascii="Arial" w:eastAsia="Times New Roman" w:hAnsi="Arial" w:cs="Arial"/>
                <w:sz w:val="16"/>
                <w:szCs w:val="16"/>
                <w:lang w:eastAsia="fr-FR"/>
              </w:rPr>
              <w:t xml:space="preserve"> </w:t>
            </w:r>
            <w:proofErr w:type="spellStart"/>
            <w:r w:rsidRPr="00A960AE">
              <w:rPr>
                <w:rFonts w:ascii="Arial" w:eastAsia="Times New Roman" w:hAnsi="Arial" w:cs="Arial"/>
                <w:sz w:val="16"/>
                <w:szCs w:val="16"/>
                <w:lang w:eastAsia="fr-FR"/>
              </w:rPr>
              <w:t>Float</w:t>
            </w:r>
            <w:proofErr w:type="spellEnd"/>
          </w:p>
        </w:tc>
        <w:tc>
          <w:tcPr>
            <w:tcW w:w="517" w:type="dxa"/>
            <w:tcBorders>
              <w:top w:val="nil"/>
              <w:left w:val="nil"/>
              <w:bottom w:val="single" w:sz="4" w:space="0" w:color="auto"/>
              <w:right w:val="single" w:sz="4" w:space="0" w:color="auto"/>
            </w:tcBorders>
            <w:shd w:val="clear" w:color="000000" w:fill="FFFFFF"/>
            <w:noWrap/>
            <w:vAlign w:val="center"/>
            <w:hideMark/>
          </w:tcPr>
          <w:p w14:paraId="5EB86D0A"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A</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643C1264" w14:textId="77777777" w:rsidR="00A960AE" w:rsidRPr="00A960AE" w:rsidRDefault="00A960AE" w:rsidP="00A960AE">
            <w:pPr>
              <w:spacing w:after="0" w:line="240" w:lineRule="auto"/>
              <w:jc w:val="center"/>
              <w:rPr>
                <w:rFonts w:ascii="Arial" w:eastAsia="Times New Roman" w:hAnsi="Arial" w:cs="Arial"/>
                <w:sz w:val="16"/>
                <w:szCs w:val="16"/>
                <w:lang w:eastAsia="fr-FR"/>
              </w:rPr>
            </w:pPr>
            <w:r w:rsidRPr="00A960AE">
              <w:rPr>
                <w:rFonts w:ascii="Arial" w:eastAsia="Times New Roman" w:hAnsi="Arial" w:cs="Arial"/>
                <w:sz w:val="16"/>
                <w:szCs w:val="16"/>
                <w:lang w:eastAsia="fr-FR"/>
              </w:rPr>
              <w:t xml:space="preserve">         412 700 € </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14:paraId="6F9A6689" w14:textId="77777777" w:rsidR="00A960AE" w:rsidRPr="00A960AE" w:rsidRDefault="00A960AE" w:rsidP="00A960AE">
            <w:pPr>
              <w:spacing w:after="0" w:line="240" w:lineRule="auto"/>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XS0355115394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14:paraId="115C784E"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400 000</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14:paraId="237FF66B" w14:textId="77777777" w:rsidR="00A960AE" w:rsidRPr="00A960AE" w:rsidRDefault="00A960AE" w:rsidP="00A960AE">
            <w:pPr>
              <w:spacing w:after="0" w:line="240" w:lineRule="auto"/>
              <w:jc w:val="center"/>
              <w:rPr>
                <w:rFonts w:ascii="Calibri" w:eastAsia="Times New Roman" w:hAnsi="Calibri" w:cs="Calibri"/>
                <w:color w:val="000000"/>
                <w:sz w:val="18"/>
                <w:szCs w:val="18"/>
                <w:lang w:eastAsia="fr-FR"/>
              </w:rPr>
            </w:pPr>
            <w:r w:rsidRPr="00A960AE">
              <w:rPr>
                <w:rFonts w:ascii="Calibri" w:eastAsia="Times New Roman" w:hAnsi="Calibri" w:cs="Calibri"/>
                <w:color w:val="000000"/>
                <w:sz w:val="18"/>
                <w:szCs w:val="18"/>
                <w:lang w:eastAsia="fr-FR"/>
              </w:rPr>
              <w:t>15/04/2023</w:t>
            </w:r>
          </w:p>
        </w:tc>
      </w:tr>
    </w:tbl>
    <w:p w14:paraId="5D038047" w14:textId="77777777" w:rsidR="00A960AE" w:rsidRDefault="00A960AE" w:rsidP="00A960AE">
      <w:pPr>
        <w:pStyle w:val="Paragraphedeliste"/>
        <w:spacing w:line="240" w:lineRule="auto"/>
        <w:ind w:left="2160"/>
        <w:jc w:val="both"/>
        <w:rPr>
          <w:b/>
          <w:sz w:val="24"/>
          <w:szCs w:val="24"/>
        </w:rPr>
      </w:pPr>
    </w:p>
    <w:p w14:paraId="4BB055DC" w14:textId="56B79CB4" w:rsidR="00FE6FD1" w:rsidRDefault="00FE6FD1" w:rsidP="00FE6FD1">
      <w:pPr>
        <w:pStyle w:val="Paragraphedeliste"/>
        <w:numPr>
          <w:ilvl w:val="1"/>
          <w:numId w:val="2"/>
        </w:numPr>
        <w:spacing w:line="240" w:lineRule="auto"/>
        <w:jc w:val="both"/>
        <w:rPr>
          <w:b/>
          <w:sz w:val="24"/>
          <w:szCs w:val="24"/>
        </w:rPr>
      </w:pPr>
      <w:r>
        <w:rPr>
          <w:b/>
          <w:sz w:val="24"/>
          <w:szCs w:val="24"/>
        </w:rPr>
        <w:t xml:space="preserve">Technique de gestion efficace du portefeuille et des instruments financiers dérivés </w:t>
      </w:r>
    </w:p>
    <w:p w14:paraId="46DAB48F" w14:textId="77777777" w:rsidR="00FE6FD1" w:rsidRDefault="00992534" w:rsidP="00FE6FD1">
      <w:pPr>
        <w:ind w:left="708" w:firstLine="708"/>
        <w:jc w:val="both"/>
      </w:pPr>
      <w:r>
        <w:t xml:space="preserve">a) </w:t>
      </w:r>
      <w:r w:rsidR="00FE6FD1">
        <w:t xml:space="preserve">Exposition obtenue au travers des techniques de gestion efficace : </w:t>
      </w:r>
    </w:p>
    <w:p w14:paraId="4F4DB168" w14:textId="77777777" w:rsidR="00FE6FD1" w:rsidRDefault="00FE6FD1" w:rsidP="00FE6FD1">
      <w:pPr>
        <w:ind w:left="1416" w:firstLine="708"/>
        <w:jc w:val="both"/>
      </w:pPr>
      <w:r>
        <w:t xml:space="preserve">- Prêts de titres : </w:t>
      </w:r>
      <w:r w:rsidR="00992534">
        <w:t>0</w:t>
      </w:r>
    </w:p>
    <w:p w14:paraId="729BCC5A" w14:textId="77777777" w:rsidR="00FE6FD1" w:rsidRDefault="00FE6FD1" w:rsidP="00FE6FD1">
      <w:pPr>
        <w:ind w:left="1416" w:firstLine="708"/>
        <w:jc w:val="both"/>
      </w:pPr>
      <w:r>
        <w:t>- Emprunt de titres :</w:t>
      </w:r>
      <w:r w:rsidR="00992534">
        <w:t xml:space="preserve"> 0</w:t>
      </w:r>
      <w:r>
        <w:t xml:space="preserve"> </w:t>
      </w:r>
    </w:p>
    <w:p w14:paraId="5DFB9646" w14:textId="77777777" w:rsidR="00FE6FD1" w:rsidRDefault="00FE6FD1" w:rsidP="00FE6FD1">
      <w:pPr>
        <w:ind w:left="1416" w:firstLine="708"/>
        <w:jc w:val="both"/>
      </w:pPr>
      <w:r>
        <w:t>- Prises en pensions :</w:t>
      </w:r>
      <w:r w:rsidR="00992534">
        <w:t xml:space="preserve"> 0</w:t>
      </w:r>
      <w:r>
        <w:t xml:space="preserve">  </w:t>
      </w:r>
    </w:p>
    <w:p w14:paraId="17C0E5C1" w14:textId="77777777" w:rsidR="00FE6FD1" w:rsidRDefault="00FE6FD1" w:rsidP="00FE6FD1">
      <w:pPr>
        <w:ind w:left="1416" w:firstLine="708"/>
        <w:jc w:val="both"/>
      </w:pPr>
      <w:r>
        <w:t>- Mises en pensions :</w:t>
      </w:r>
      <w:r w:rsidR="00992534">
        <w:t xml:space="preserve"> 0</w:t>
      </w:r>
      <w:r>
        <w:t xml:space="preserve"> </w:t>
      </w:r>
    </w:p>
    <w:p w14:paraId="5E3AED49" w14:textId="0AF394B6" w:rsidR="00992534" w:rsidRDefault="00992534" w:rsidP="00992534">
      <w:pPr>
        <w:ind w:left="1416"/>
        <w:jc w:val="both"/>
      </w:pPr>
      <w:r>
        <w:t xml:space="preserve">b) </w:t>
      </w:r>
      <w:r w:rsidR="00FE6FD1">
        <w:t xml:space="preserve">Exposition sous-jacentes atteintes au travers des instruments financiers dérivés : </w:t>
      </w:r>
      <w:r w:rsidR="00232DEA">
        <w:t xml:space="preserve"> </w:t>
      </w:r>
    </w:p>
    <w:p w14:paraId="15ADF100" w14:textId="77777777" w:rsidR="00FE6FD1" w:rsidRDefault="00FE6FD1" w:rsidP="00992534">
      <w:pPr>
        <w:ind w:left="1416" w:firstLine="708"/>
        <w:jc w:val="both"/>
      </w:pPr>
      <w:r>
        <w:t xml:space="preserve">- Change à terme : </w:t>
      </w:r>
      <w:r w:rsidR="00992534">
        <w:t>0</w:t>
      </w:r>
    </w:p>
    <w:p w14:paraId="4D033A8E" w14:textId="606B39D6" w:rsidR="00FE6FD1" w:rsidRDefault="00FE6FD1" w:rsidP="00FE6FD1">
      <w:pPr>
        <w:ind w:left="1416" w:firstLine="708"/>
        <w:jc w:val="both"/>
      </w:pPr>
      <w:r>
        <w:t>- Future :</w:t>
      </w:r>
      <w:r w:rsidR="00992534">
        <w:t xml:space="preserve"> </w:t>
      </w:r>
      <w:r w:rsidR="00A960AE">
        <w:t>0</w:t>
      </w:r>
    </w:p>
    <w:p w14:paraId="0FEA4436" w14:textId="77777777" w:rsidR="00FE6FD1" w:rsidRDefault="00FE6FD1" w:rsidP="00FE6FD1">
      <w:pPr>
        <w:ind w:left="1416" w:firstLine="708"/>
        <w:jc w:val="both"/>
      </w:pPr>
      <w:r>
        <w:t xml:space="preserve">- Options : </w:t>
      </w:r>
      <w:r w:rsidR="00992534">
        <w:t>0</w:t>
      </w:r>
    </w:p>
    <w:p w14:paraId="2947914D" w14:textId="77777777" w:rsidR="00FE6FD1" w:rsidRDefault="00FE6FD1" w:rsidP="00FE6FD1">
      <w:pPr>
        <w:ind w:left="1416" w:firstLine="708"/>
        <w:jc w:val="both"/>
      </w:pPr>
      <w:r>
        <w:t>- Swap :</w:t>
      </w:r>
      <w:r w:rsidR="00992534">
        <w:t xml:space="preserve"> 0</w:t>
      </w:r>
      <w:r>
        <w:t xml:space="preserve"> </w:t>
      </w:r>
    </w:p>
    <w:p w14:paraId="399E0DF7" w14:textId="77777777" w:rsidR="00D1035F" w:rsidRPr="00D1035F" w:rsidRDefault="00D1035F" w:rsidP="00D1035F">
      <w:pPr>
        <w:pStyle w:val="Paragraphedeliste"/>
        <w:spacing w:line="240" w:lineRule="auto"/>
        <w:ind w:left="2160"/>
        <w:jc w:val="both"/>
        <w:rPr>
          <w:b/>
          <w:sz w:val="24"/>
          <w:szCs w:val="24"/>
        </w:rPr>
      </w:pPr>
    </w:p>
    <w:p w14:paraId="7F8A9225" w14:textId="77777777" w:rsidR="00D1035F" w:rsidRDefault="00D1035F" w:rsidP="00840968">
      <w:pPr>
        <w:pStyle w:val="Paragraphedeliste"/>
        <w:numPr>
          <w:ilvl w:val="1"/>
          <w:numId w:val="2"/>
        </w:numPr>
        <w:spacing w:line="240" w:lineRule="auto"/>
        <w:jc w:val="both"/>
        <w:rPr>
          <w:b/>
          <w:sz w:val="24"/>
          <w:szCs w:val="24"/>
        </w:rPr>
      </w:pPr>
      <w:r w:rsidRPr="00D1035F">
        <w:rPr>
          <w:b/>
          <w:sz w:val="24"/>
          <w:szCs w:val="24"/>
        </w:rPr>
        <w:t>Transparence des opérations de financement sur titres et de la réutilisation des instruments</w:t>
      </w:r>
      <w:r>
        <w:rPr>
          <w:b/>
          <w:sz w:val="24"/>
          <w:szCs w:val="24"/>
        </w:rPr>
        <w:t xml:space="preserve"> </w:t>
      </w:r>
      <w:r w:rsidRPr="00D1035F">
        <w:rPr>
          <w:b/>
          <w:sz w:val="24"/>
          <w:szCs w:val="24"/>
        </w:rPr>
        <w:t>financiers – règlement SFTR – en devise de comptabilité de l’OPC (EUR)</w:t>
      </w:r>
    </w:p>
    <w:p w14:paraId="02159858" w14:textId="77777777" w:rsidR="00D1035F" w:rsidRPr="00DC30DE" w:rsidRDefault="00D1035F" w:rsidP="00D1035F">
      <w:pPr>
        <w:spacing w:line="240" w:lineRule="auto"/>
        <w:ind w:left="1134"/>
        <w:jc w:val="both"/>
      </w:pPr>
      <w:r w:rsidRPr="00DC30DE">
        <w:t>Au cours de l’exercice, Carlton Select Invest n’a pas fait l’objet d’opérations relevant de la règlementation SFTR.</w:t>
      </w:r>
    </w:p>
    <w:p w14:paraId="11822809" w14:textId="77777777" w:rsidR="00D1035F" w:rsidRDefault="00D1035F" w:rsidP="00D1035F">
      <w:pPr>
        <w:pStyle w:val="Paragraphedeliste"/>
        <w:numPr>
          <w:ilvl w:val="1"/>
          <w:numId w:val="2"/>
        </w:numPr>
        <w:spacing w:line="240" w:lineRule="auto"/>
        <w:jc w:val="both"/>
        <w:rPr>
          <w:b/>
          <w:sz w:val="24"/>
          <w:szCs w:val="24"/>
        </w:rPr>
      </w:pPr>
      <w:r>
        <w:rPr>
          <w:b/>
          <w:sz w:val="24"/>
          <w:szCs w:val="24"/>
        </w:rPr>
        <w:t xml:space="preserve">Investissement dans des OPC gérés par Carlton </w:t>
      </w:r>
      <w:proofErr w:type="spellStart"/>
      <w:r>
        <w:rPr>
          <w:b/>
          <w:sz w:val="24"/>
          <w:szCs w:val="24"/>
        </w:rPr>
        <w:t>Selection</w:t>
      </w:r>
      <w:proofErr w:type="spellEnd"/>
      <w:r>
        <w:rPr>
          <w:b/>
          <w:sz w:val="24"/>
          <w:szCs w:val="24"/>
        </w:rPr>
        <w:t xml:space="preserve"> </w:t>
      </w:r>
    </w:p>
    <w:p w14:paraId="4946A05C" w14:textId="77777777" w:rsidR="00D1035F" w:rsidRDefault="00D1035F" w:rsidP="00D1035F">
      <w:pPr>
        <w:spacing w:line="240" w:lineRule="auto"/>
        <w:ind w:left="1134"/>
        <w:jc w:val="both"/>
      </w:pPr>
      <w:r w:rsidRPr="00DC30DE">
        <w:t xml:space="preserve">Au cours de l’exercice, Carlton Select Invest n’a pas investi dans un OPC géré par Carlton </w:t>
      </w:r>
      <w:proofErr w:type="spellStart"/>
      <w:r w:rsidRPr="00DC30DE">
        <w:t>Selection</w:t>
      </w:r>
      <w:proofErr w:type="spellEnd"/>
      <w:r w:rsidRPr="00DC30DE">
        <w:t xml:space="preserve">. </w:t>
      </w:r>
    </w:p>
    <w:p w14:paraId="77A5EF2F" w14:textId="77777777" w:rsidR="001315B7" w:rsidRPr="00B5294A" w:rsidRDefault="001315B7" w:rsidP="001315B7">
      <w:pPr>
        <w:pStyle w:val="Paragraphedeliste"/>
        <w:numPr>
          <w:ilvl w:val="0"/>
          <w:numId w:val="1"/>
        </w:numPr>
        <w:ind w:left="1134"/>
        <w:jc w:val="both"/>
      </w:pPr>
      <w:r w:rsidRPr="00B5294A">
        <w:rPr>
          <w:sz w:val="28"/>
          <w:szCs w:val="28"/>
          <w:u w:val="single"/>
        </w:rPr>
        <w:t xml:space="preserve">Sélection des </w:t>
      </w:r>
      <w:r w:rsidR="00E25936">
        <w:rPr>
          <w:sz w:val="28"/>
          <w:szCs w:val="28"/>
          <w:u w:val="single"/>
        </w:rPr>
        <w:t>intermédiaires</w:t>
      </w:r>
      <w:r w:rsidR="0086299A">
        <w:rPr>
          <w:sz w:val="28"/>
          <w:szCs w:val="28"/>
          <w:u w:val="single"/>
        </w:rPr>
        <w:t xml:space="preserve"> et contreparties </w:t>
      </w:r>
    </w:p>
    <w:p w14:paraId="33D5E732" w14:textId="77777777" w:rsidR="001315B7" w:rsidRDefault="001315B7" w:rsidP="001315B7">
      <w:pPr>
        <w:pStyle w:val="Paragraphedeliste"/>
        <w:ind w:left="1134"/>
        <w:jc w:val="both"/>
      </w:pPr>
    </w:p>
    <w:p w14:paraId="6A947659" w14:textId="71BE3277" w:rsidR="0086299A" w:rsidRDefault="0086299A" w:rsidP="001315B7">
      <w:pPr>
        <w:pStyle w:val="Paragraphedeliste"/>
        <w:ind w:left="1134"/>
        <w:jc w:val="both"/>
      </w:pPr>
      <w:r>
        <w:lastRenderedPageBreak/>
        <w:t>Les intermédiaires utilisés par la société de gestion sont sélectionnés sur la base de différents critères d'évaluation, parmi lesquels figurent la recherche, la qualité d'exécution et de dépouillement des ordres, l'offre de services. Le « Comité Broker » de la société de gestion valide toute mise à jour dans la liste des intermédiaires habilités. Chaque pôle de gestion (taux et actions) rend compte au minimum deux fois par an au Comité Broker de l'évaluation de la prestation de ces différents intermédiaires et de la répartition des volumes d'opérations traités.</w:t>
      </w:r>
    </w:p>
    <w:p w14:paraId="39A3A957" w14:textId="77777777" w:rsidR="00992534" w:rsidRDefault="00992534" w:rsidP="001315B7">
      <w:pPr>
        <w:pStyle w:val="Paragraphedeliste"/>
        <w:ind w:left="1134"/>
        <w:jc w:val="both"/>
      </w:pPr>
    </w:p>
    <w:p w14:paraId="56A4455F" w14:textId="77777777" w:rsidR="001315B7" w:rsidRDefault="001315B7" w:rsidP="001315B7">
      <w:pPr>
        <w:pStyle w:val="Paragraphedeliste"/>
        <w:numPr>
          <w:ilvl w:val="0"/>
          <w:numId w:val="1"/>
        </w:numPr>
        <w:jc w:val="both"/>
        <w:rPr>
          <w:sz w:val="28"/>
          <w:szCs w:val="28"/>
          <w:u w:val="single"/>
        </w:rPr>
      </w:pPr>
      <w:r w:rsidRPr="00243E84">
        <w:rPr>
          <w:sz w:val="28"/>
          <w:szCs w:val="28"/>
          <w:u w:val="single"/>
        </w:rPr>
        <w:t>Critères ESG</w:t>
      </w:r>
    </w:p>
    <w:p w14:paraId="77063463" w14:textId="77777777" w:rsidR="001315B7" w:rsidRDefault="001315B7" w:rsidP="001315B7">
      <w:pPr>
        <w:pStyle w:val="Paragraphedeliste"/>
        <w:ind w:left="1080"/>
        <w:jc w:val="both"/>
      </w:pPr>
    </w:p>
    <w:p w14:paraId="4414A2DD" w14:textId="77777777" w:rsidR="001315B7" w:rsidRDefault="001315B7" w:rsidP="001315B7">
      <w:pPr>
        <w:pStyle w:val="Paragraphedeliste"/>
        <w:ind w:left="1080"/>
        <w:jc w:val="both"/>
      </w:pPr>
      <w:r w:rsidRPr="00B5294A">
        <w:t>La politique de la SGP en matière de critères Environnementaux Sociaux et de Gouvern</w:t>
      </w:r>
      <w:r w:rsidR="00217BD2">
        <w:t>ance (ESG) n’a pas varié en 201</w:t>
      </w:r>
      <w:r w:rsidR="00642830">
        <w:t>8</w:t>
      </w:r>
      <w:r w:rsidRPr="00B5294A">
        <w:t xml:space="preserve">, à savoir que la SGP ne tient pas compte de ces critères </w:t>
      </w:r>
      <w:r w:rsidR="00A72BB3">
        <w:t xml:space="preserve">directement </w:t>
      </w:r>
      <w:r w:rsidRPr="00B5294A">
        <w:t>dans sa politique d’investisseme</w:t>
      </w:r>
      <w:r>
        <w:t>nt</w:t>
      </w:r>
      <w:r w:rsidR="00D1035F">
        <w:t xml:space="preserve">. </w:t>
      </w:r>
      <w:r w:rsidR="00A72BB3">
        <w:t xml:space="preserve">Cette décision est expliquée par la nature </w:t>
      </w:r>
      <w:r w:rsidR="003C3880">
        <w:t xml:space="preserve">même </w:t>
      </w:r>
      <w:r w:rsidR="00A72BB3">
        <w:t xml:space="preserve">de Carlton Select Invest qui investit </w:t>
      </w:r>
      <w:r w:rsidR="003C3880">
        <w:t>principalement</w:t>
      </w:r>
      <w:r w:rsidR="00A72BB3">
        <w:t xml:space="preserve"> dans des OPC d’autres sociétés de gestion qui prennent </w:t>
      </w:r>
      <w:r w:rsidR="00E13468">
        <w:t>en compte</w:t>
      </w:r>
      <w:r w:rsidR="00A72BB3">
        <w:t xml:space="preserve"> l’analyse ESG. </w:t>
      </w:r>
    </w:p>
    <w:p w14:paraId="66B8DD83" w14:textId="77777777" w:rsidR="00B923AA" w:rsidRDefault="00B923AA" w:rsidP="001315B7">
      <w:pPr>
        <w:pStyle w:val="Paragraphedeliste"/>
        <w:ind w:left="1080"/>
        <w:jc w:val="both"/>
      </w:pPr>
    </w:p>
    <w:p w14:paraId="5D16D3A3" w14:textId="77777777" w:rsidR="001315B7" w:rsidRDefault="001315B7" w:rsidP="001315B7">
      <w:pPr>
        <w:pStyle w:val="Paragraphedeliste"/>
        <w:numPr>
          <w:ilvl w:val="0"/>
          <w:numId w:val="1"/>
        </w:numPr>
        <w:jc w:val="both"/>
        <w:rPr>
          <w:sz w:val="28"/>
          <w:szCs w:val="28"/>
          <w:u w:val="single"/>
        </w:rPr>
      </w:pPr>
      <w:r w:rsidRPr="00243E84">
        <w:rPr>
          <w:sz w:val="28"/>
          <w:szCs w:val="28"/>
          <w:u w:val="single"/>
        </w:rPr>
        <w:t>Calcul du risque global</w:t>
      </w:r>
    </w:p>
    <w:p w14:paraId="4FC20761" w14:textId="77777777" w:rsidR="001315B7" w:rsidRDefault="001315B7" w:rsidP="001315B7">
      <w:pPr>
        <w:pStyle w:val="Paragraphedeliste"/>
        <w:ind w:left="1080"/>
        <w:jc w:val="both"/>
      </w:pPr>
    </w:p>
    <w:p w14:paraId="61A1F50B" w14:textId="77777777" w:rsidR="001315B7" w:rsidRDefault="001315B7" w:rsidP="00BC401A">
      <w:pPr>
        <w:pStyle w:val="Paragraphedeliste"/>
        <w:ind w:left="1080"/>
        <w:jc w:val="both"/>
      </w:pPr>
      <w:r w:rsidRPr="00B5294A">
        <w:t>La</w:t>
      </w:r>
      <w:r>
        <w:t xml:space="preserve"> </w:t>
      </w:r>
      <w:r w:rsidRPr="00B5294A">
        <w:t xml:space="preserve">méthode mise en place et appliquée par Carlton Sélection est celle de l’engagement pour le calcul du risque global. </w:t>
      </w:r>
    </w:p>
    <w:p w14:paraId="1D429AEA" w14:textId="77777777" w:rsidR="00217BD2" w:rsidRDefault="00217BD2" w:rsidP="00BC401A">
      <w:pPr>
        <w:pStyle w:val="Paragraphedeliste"/>
        <w:ind w:left="1080"/>
        <w:jc w:val="both"/>
      </w:pPr>
    </w:p>
    <w:p w14:paraId="19496F25" w14:textId="05E12FCE" w:rsidR="008A2FEB" w:rsidRDefault="00217BD2" w:rsidP="006100CD">
      <w:pPr>
        <w:pStyle w:val="Paragraphedeliste"/>
        <w:ind w:left="1080"/>
        <w:jc w:val="both"/>
      </w:pPr>
      <w:r>
        <w:t xml:space="preserve">Au </w:t>
      </w:r>
      <w:r w:rsidR="00DC30DE">
        <w:t>31</w:t>
      </w:r>
      <w:r>
        <w:t>/12/201</w:t>
      </w:r>
      <w:r w:rsidR="00836F3E">
        <w:t>9</w:t>
      </w:r>
      <w:r>
        <w:t xml:space="preserve">, </w:t>
      </w:r>
      <w:r w:rsidR="008A2FEB">
        <w:t xml:space="preserve">le risque global du fonds était de 0.00%. </w:t>
      </w:r>
    </w:p>
    <w:p w14:paraId="1F3DB669" w14:textId="27415763" w:rsidR="003D4E5F" w:rsidRDefault="008A2FEB" w:rsidP="006100CD">
      <w:pPr>
        <w:pStyle w:val="Paragraphedeliste"/>
        <w:ind w:left="1080"/>
        <w:jc w:val="both"/>
      </w:pPr>
      <w:r>
        <w:t>L</w:t>
      </w:r>
      <w:r w:rsidR="00217BD2">
        <w:t xml:space="preserve">e levier </w:t>
      </w:r>
      <w:r>
        <w:t xml:space="preserve">s’élevait à </w:t>
      </w:r>
      <w:r w:rsidR="00217BD2">
        <w:t>9</w:t>
      </w:r>
      <w:r>
        <w:t>9.9</w:t>
      </w:r>
      <w:r w:rsidR="00EB334D">
        <w:t>4</w:t>
      </w:r>
      <w:r w:rsidR="00217BD2" w:rsidRPr="00217BD2">
        <w:t>% selon la méthode de l’engagement et</w:t>
      </w:r>
      <w:r>
        <w:t xml:space="preserve"> </w:t>
      </w:r>
      <w:r w:rsidR="00217BD2" w:rsidRPr="00217BD2">
        <w:t>selon la méthode brute.</w:t>
      </w:r>
    </w:p>
    <w:p w14:paraId="1D8BA4DA" w14:textId="77777777" w:rsidR="00B923AA" w:rsidRDefault="00B923AA" w:rsidP="006100CD">
      <w:pPr>
        <w:pStyle w:val="Paragraphedeliste"/>
        <w:ind w:left="1080"/>
        <w:jc w:val="both"/>
      </w:pPr>
      <w:bookmarkStart w:id="1" w:name="_GoBack"/>
      <w:bookmarkEnd w:id="1"/>
    </w:p>
    <w:p w14:paraId="113FF659" w14:textId="77777777" w:rsidR="0071170B" w:rsidRDefault="0071170B" w:rsidP="0071170B">
      <w:pPr>
        <w:pStyle w:val="Paragraphedeliste"/>
        <w:numPr>
          <w:ilvl w:val="0"/>
          <w:numId w:val="1"/>
        </w:numPr>
        <w:jc w:val="both"/>
        <w:rPr>
          <w:sz w:val="28"/>
          <w:szCs w:val="28"/>
          <w:u w:val="single"/>
        </w:rPr>
      </w:pPr>
      <w:r>
        <w:rPr>
          <w:sz w:val="28"/>
          <w:szCs w:val="28"/>
          <w:u w:val="single"/>
        </w:rPr>
        <w:t>Politique de rémunération</w:t>
      </w:r>
    </w:p>
    <w:p w14:paraId="5DDA5BD1" w14:textId="77777777" w:rsidR="002C6123" w:rsidRDefault="002C6123" w:rsidP="002C6123">
      <w:pPr>
        <w:ind w:left="360"/>
        <w:jc w:val="both"/>
      </w:pPr>
      <w:r>
        <w:t xml:space="preserve">La politique de rémunération mise en place au sein de Carlton </w:t>
      </w:r>
      <w:proofErr w:type="spellStart"/>
      <w:r>
        <w:t>Selection</w:t>
      </w:r>
      <w:proofErr w:type="spellEnd"/>
      <w:r>
        <w:t xml:space="preserve"> est conforme aux dispositions en matière de rémunération mentionnées dans la directive 2011/61/UE du Parlement Européen et du Conseil du 8 juin 2011 sur les gestionnaires de fonds d’investissement alternatifs (ci-après la « Directive AIFM »), et dans la directive 2014/91/UE du 23 juillet 2014 concernant les OPCVM (ci-après la « Directive UCITS V»).</w:t>
      </w:r>
    </w:p>
    <w:p w14:paraId="1D015691" w14:textId="77777777" w:rsidR="002C6123" w:rsidRDefault="002C6123" w:rsidP="002C6123">
      <w:pPr>
        <w:ind w:left="360" w:firstLine="45"/>
        <w:jc w:val="both"/>
      </w:pPr>
      <w:r>
        <w:t xml:space="preserve">Ces règles, portant sur les structures, les pratiques et la politique de rémunération de Carlton </w:t>
      </w:r>
      <w:proofErr w:type="spellStart"/>
      <w:r>
        <w:t>Selection</w:t>
      </w:r>
      <w:proofErr w:type="spellEnd"/>
      <w:r>
        <w:t xml:space="preserve"> ont notamment pour but de contribuer à renforcer la gestion saine, efficace et maîtrisée des risques pesant tant sur la société de gestion que sur les fonds gérés. </w:t>
      </w:r>
    </w:p>
    <w:p w14:paraId="5762B2E5" w14:textId="77777777" w:rsidR="002C6123" w:rsidRDefault="002C6123" w:rsidP="002C6123">
      <w:pPr>
        <w:ind w:left="360"/>
        <w:jc w:val="both"/>
      </w:pPr>
      <w:r>
        <w:t xml:space="preserve">Cette politique s’inscrit dans le cadre de la politique de rémunération de Carlton </w:t>
      </w:r>
      <w:proofErr w:type="spellStart"/>
      <w:r>
        <w:t>Selection</w:t>
      </w:r>
      <w:proofErr w:type="spellEnd"/>
      <w:r>
        <w:t xml:space="preserve"> revue chaque année. </w:t>
      </w:r>
    </w:p>
    <w:p w14:paraId="0075DA34" w14:textId="77777777" w:rsidR="002C6123" w:rsidRDefault="002C6123" w:rsidP="002C6123">
      <w:pPr>
        <w:ind w:left="360"/>
        <w:jc w:val="both"/>
      </w:pPr>
      <w:r>
        <w:t xml:space="preserve">Selon le principe de proportionnalité, Carlton </w:t>
      </w:r>
      <w:proofErr w:type="spellStart"/>
      <w:r>
        <w:t>Selection</w:t>
      </w:r>
      <w:proofErr w:type="spellEnd"/>
      <w:r>
        <w:t xml:space="preserve"> a fait le choix de ne pas avoir de Comité de Rémunération. </w:t>
      </w:r>
    </w:p>
    <w:p w14:paraId="4440BCA8" w14:textId="61419052" w:rsidR="002C6123" w:rsidRDefault="002C6123" w:rsidP="002C6123">
      <w:pPr>
        <w:ind w:firstLine="360"/>
        <w:jc w:val="both"/>
      </w:pPr>
      <w:r>
        <w:t xml:space="preserve">Montant des rémunérations versées par Carlton </w:t>
      </w:r>
      <w:proofErr w:type="spellStart"/>
      <w:r>
        <w:t>Selection</w:t>
      </w:r>
      <w:proofErr w:type="spellEnd"/>
      <w:r>
        <w:t xml:space="preserve"> sur l’exercice 201</w:t>
      </w:r>
      <w:r w:rsidR="004865FE">
        <w:t>9</w:t>
      </w:r>
      <w:r>
        <w:t xml:space="preserve"> :</w:t>
      </w:r>
    </w:p>
    <w:p w14:paraId="40124E36" w14:textId="3A15BAB4" w:rsidR="002C6123" w:rsidRPr="00E27B62" w:rsidRDefault="002C6123" w:rsidP="002C6123">
      <w:pPr>
        <w:ind w:left="360"/>
        <w:jc w:val="both"/>
        <w:rPr>
          <w:color w:val="000000" w:themeColor="text1"/>
        </w:rPr>
      </w:pPr>
      <w:r w:rsidRPr="00E27B62">
        <w:t xml:space="preserve">Le montant total des salaires versés au personnel de Carlton </w:t>
      </w:r>
      <w:proofErr w:type="spellStart"/>
      <w:r w:rsidRPr="00E27B62">
        <w:t>Selection</w:t>
      </w:r>
      <w:proofErr w:type="spellEnd"/>
      <w:r w:rsidRPr="00E27B62">
        <w:t xml:space="preserve"> en 201</w:t>
      </w:r>
      <w:r w:rsidR="004865FE" w:rsidRPr="00E27B62">
        <w:t>9</w:t>
      </w:r>
      <w:r w:rsidRPr="00E27B62">
        <w:t xml:space="preserve"> s’élève à </w:t>
      </w:r>
      <w:r w:rsidR="00E27B62" w:rsidRPr="00E27B62">
        <w:rPr>
          <w:color w:val="000000" w:themeColor="text1"/>
        </w:rPr>
        <w:t>212 359.19</w:t>
      </w:r>
      <w:r w:rsidR="00E27B62">
        <w:rPr>
          <w:color w:val="000000" w:themeColor="text1"/>
        </w:rPr>
        <w:t>€.</w:t>
      </w:r>
    </w:p>
    <w:p w14:paraId="194F4AE8" w14:textId="7721696E" w:rsidR="002C6123" w:rsidRPr="00E27B62" w:rsidRDefault="002C6123" w:rsidP="002C6123">
      <w:pPr>
        <w:ind w:firstLine="360"/>
        <w:jc w:val="both"/>
        <w:rPr>
          <w:color w:val="000000" w:themeColor="text1"/>
        </w:rPr>
      </w:pPr>
      <w:r w:rsidRPr="00E27B62">
        <w:rPr>
          <w:color w:val="000000" w:themeColor="text1"/>
        </w:rPr>
        <w:t>Sur le total des rémunérations versées sur l’exercice 201</w:t>
      </w:r>
      <w:r w:rsidR="004865FE" w:rsidRPr="00E27B62">
        <w:rPr>
          <w:color w:val="000000" w:themeColor="text1"/>
        </w:rPr>
        <w:t>9</w:t>
      </w:r>
      <w:r w:rsidRPr="00E27B62">
        <w:rPr>
          <w:color w:val="000000" w:themeColor="text1"/>
        </w:rPr>
        <w:t xml:space="preserve">, la répartition est la suivante : </w:t>
      </w:r>
    </w:p>
    <w:p w14:paraId="11F9763C" w14:textId="4D8DF69D" w:rsidR="002C6123" w:rsidRPr="00E27B62" w:rsidRDefault="002C6123" w:rsidP="002C6123">
      <w:pPr>
        <w:ind w:firstLine="360"/>
        <w:jc w:val="both"/>
        <w:rPr>
          <w:color w:val="000000" w:themeColor="text1"/>
        </w:rPr>
      </w:pPr>
      <w:r w:rsidRPr="00E27B62">
        <w:rPr>
          <w:color w:val="000000" w:themeColor="text1"/>
        </w:rPr>
        <w:lastRenderedPageBreak/>
        <w:t>•</w:t>
      </w:r>
      <w:r w:rsidRPr="00E27B62">
        <w:rPr>
          <w:color w:val="000000" w:themeColor="text1"/>
        </w:rPr>
        <w:tab/>
        <w:t xml:space="preserve">les dirigeants et gérants financiers : </w:t>
      </w:r>
      <w:r w:rsidR="00E27B62" w:rsidRPr="00E27B62">
        <w:rPr>
          <w:color w:val="000000" w:themeColor="text1"/>
        </w:rPr>
        <w:t>133 921.72</w:t>
      </w:r>
      <w:r w:rsidR="00E27B62">
        <w:rPr>
          <w:color w:val="000000" w:themeColor="text1"/>
        </w:rPr>
        <w:t>€</w:t>
      </w:r>
    </w:p>
    <w:p w14:paraId="2A398802" w14:textId="1B3DA31A" w:rsidR="0071170B" w:rsidRPr="00E27B62" w:rsidRDefault="002C6123" w:rsidP="002C6123">
      <w:pPr>
        <w:ind w:firstLine="360"/>
        <w:jc w:val="both"/>
        <w:rPr>
          <w:color w:val="000000" w:themeColor="text1"/>
        </w:rPr>
      </w:pPr>
      <w:r w:rsidRPr="00E27B62">
        <w:rPr>
          <w:color w:val="000000" w:themeColor="text1"/>
        </w:rPr>
        <w:t>•</w:t>
      </w:r>
      <w:r w:rsidRPr="00E27B62">
        <w:rPr>
          <w:color w:val="000000" w:themeColor="text1"/>
        </w:rPr>
        <w:tab/>
        <w:t xml:space="preserve">back/middle office et contrôleur des risques : </w:t>
      </w:r>
      <w:r w:rsidR="00E27B62" w:rsidRPr="00E27B62">
        <w:rPr>
          <w:color w:val="000000" w:themeColor="text1"/>
        </w:rPr>
        <w:t>78 437.47</w:t>
      </w:r>
      <w:r w:rsidR="00E27B62">
        <w:rPr>
          <w:color w:val="000000" w:themeColor="text1"/>
        </w:rPr>
        <w:t>€</w:t>
      </w:r>
    </w:p>
    <w:p w14:paraId="4003544D" w14:textId="77777777" w:rsidR="00135EB0" w:rsidRDefault="00135EB0" w:rsidP="00135EB0">
      <w:pPr>
        <w:pStyle w:val="Paragraphedeliste"/>
        <w:numPr>
          <w:ilvl w:val="0"/>
          <w:numId w:val="1"/>
        </w:numPr>
        <w:jc w:val="both"/>
        <w:rPr>
          <w:sz w:val="28"/>
          <w:szCs w:val="28"/>
          <w:u w:val="single"/>
        </w:rPr>
      </w:pPr>
      <w:r>
        <w:rPr>
          <w:sz w:val="28"/>
          <w:szCs w:val="28"/>
          <w:u w:val="single"/>
        </w:rPr>
        <w:t>Politique des droits de vote</w:t>
      </w:r>
    </w:p>
    <w:p w14:paraId="5AC5D621" w14:textId="77777777" w:rsidR="00135EB0" w:rsidRDefault="00135EB0" w:rsidP="00135EB0">
      <w:pPr>
        <w:ind w:left="360"/>
        <w:jc w:val="both"/>
      </w:pPr>
      <w:r>
        <w:t xml:space="preserve">Carlton Sélection exerce les droits de vote attachés aux titres détenus dans les OPC dont elle assure la gestion selon le périmètre et les modalités précisées dans la charte qu‘elle a établie concernant sa politique d'exercice des droits de vote. </w:t>
      </w:r>
    </w:p>
    <w:p w14:paraId="72B486C1" w14:textId="77777777" w:rsidR="00135EB0" w:rsidRDefault="00135EB0" w:rsidP="00135EB0">
      <w:pPr>
        <w:ind w:left="360"/>
        <w:jc w:val="both"/>
      </w:pPr>
      <w:r>
        <w:t>En 201</w:t>
      </w:r>
      <w:r w:rsidR="00DC30DE">
        <w:t>8</w:t>
      </w:r>
      <w:r>
        <w:t>, Carlton Sélection n’a pas exercé de droits de vote.</w:t>
      </w:r>
    </w:p>
    <w:p w14:paraId="7F3B52E2" w14:textId="77777777" w:rsidR="00135EB0" w:rsidRDefault="00135EB0" w:rsidP="00135EB0">
      <w:pPr>
        <w:pStyle w:val="Paragraphedeliste"/>
        <w:numPr>
          <w:ilvl w:val="0"/>
          <w:numId w:val="1"/>
        </w:numPr>
        <w:jc w:val="both"/>
        <w:rPr>
          <w:sz w:val="28"/>
          <w:szCs w:val="28"/>
          <w:u w:val="single"/>
        </w:rPr>
      </w:pPr>
      <w:r>
        <w:rPr>
          <w:sz w:val="28"/>
          <w:szCs w:val="28"/>
          <w:u w:val="single"/>
        </w:rPr>
        <w:t xml:space="preserve">Politique de gestion des conflits d’intérêts </w:t>
      </w:r>
    </w:p>
    <w:p w14:paraId="21E7944D" w14:textId="77777777" w:rsidR="00135EB0" w:rsidRDefault="00135EB0" w:rsidP="00135EB0">
      <w:pPr>
        <w:ind w:left="360"/>
        <w:jc w:val="both"/>
      </w:pPr>
      <w:r w:rsidRPr="00135EB0">
        <w:t xml:space="preserve">Dans le cadre de la directive européenne « MIF » (Marché d’Instruments Financiers), entrée en vigueur le 1er novembre 2007, Carlton </w:t>
      </w:r>
      <w:proofErr w:type="spellStart"/>
      <w:r w:rsidRPr="00135EB0">
        <w:t>Selection</w:t>
      </w:r>
      <w:proofErr w:type="spellEnd"/>
      <w:r w:rsidRPr="00135EB0">
        <w:t xml:space="preserve"> a formalisé une politique de gestion des conflits d’intérêts et mis en place des dispositions spécifiques en termes d’organisation (moyens et procédures) et de contrôle afin de prévenir, identifier et gérer les situations de conflits d’intérêts pouvant porter atteinte aux intérêts de ses client</w:t>
      </w:r>
      <w:r w:rsidR="002D0752">
        <w:t xml:space="preserve">s. </w:t>
      </w:r>
    </w:p>
    <w:p w14:paraId="4C310C8A" w14:textId="77777777" w:rsidR="002D0752" w:rsidRDefault="002D0752" w:rsidP="00135EB0">
      <w:pPr>
        <w:ind w:left="360"/>
        <w:jc w:val="both"/>
      </w:pPr>
      <w:r>
        <w:t xml:space="preserve">La politique de gestion des conflits d’intérêts est disponible sur simple demande écrite : </w:t>
      </w:r>
    </w:p>
    <w:p w14:paraId="10BAD750" w14:textId="77777777" w:rsidR="002D0752" w:rsidRDefault="002D0752" w:rsidP="002D0752">
      <w:pPr>
        <w:pStyle w:val="Paragraphedeliste"/>
        <w:numPr>
          <w:ilvl w:val="0"/>
          <w:numId w:val="3"/>
        </w:numPr>
        <w:jc w:val="both"/>
      </w:pPr>
      <w:r>
        <w:t>Adresse postale : Carlton Sélection 25 Rue Montbazon 33000 Bordeaux</w:t>
      </w:r>
    </w:p>
    <w:p w14:paraId="6AE2CEFC" w14:textId="77777777" w:rsidR="002D0752" w:rsidRDefault="002D0752" w:rsidP="002D0752">
      <w:pPr>
        <w:pStyle w:val="Paragraphedeliste"/>
        <w:numPr>
          <w:ilvl w:val="0"/>
          <w:numId w:val="3"/>
        </w:numPr>
        <w:jc w:val="both"/>
      </w:pPr>
      <w:r>
        <w:t xml:space="preserve">Email : </w:t>
      </w:r>
      <w:hyperlink r:id="rId8" w:history="1">
        <w:r w:rsidR="00552032" w:rsidRPr="003D3925">
          <w:rPr>
            <w:rStyle w:val="Lienhypertexte"/>
          </w:rPr>
          <w:t>relations-investisseurs@carltonselection.fr</w:t>
        </w:r>
      </w:hyperlink>
    </w:p>
    <w:p w14:paraId="1A2B78DC" w14:textId="77777777" w:rsidR="00552032" w:rsidRDefault="00552032" w:rsidP="00552032">
      <w:pPr>
        <w:pStyle w:val="Paragraphedeliste"/>
        <w:ind w:left="1854"/>
        <w:jc w:val="both"/>
      </w:pPr>
    </w:p>
    <w:p w14:paraId="6E136E9F" w14:textId="77777777" w:rsidR="00552032" w:rsidRDefault="00552032" w:rsidP="00552032">
      <w:pPr>
        <w:ind w:left="360"/>
        <w:jc w:val="both"/>
      </w:pPr>
    </w:p>
    <w:p w14:paraId="7A87B355" w14:textId="77777777" w:rsidR="00135EB0" w:rsidRDefault="00135EB0" w:rsidP="00135EB0">
      <w:pPr>
        <w:ind w:left="360"/>
        <w:jc w:val="both"/>
      </w:pPr>
    </w:p>
    <w:p w14:paraId="42F7C189" w14:textId="77777777" w:rsidR="00135EB0" w:rsidRDefault="00135EB0" w:rsidP="00135EB0">
      <w:pPr>
        <w:ind w:left="360"/>
        <w:jc w:val="both"/>
      </w:pPr>
    </w:p>
    <w:p w14:paraId="35C86FC6" w14:textId="77777777" w:rsidR="002C6123" w:rsidRPr="00B23D78" w:rsidRDefault="002C6123" w:rsidP="0071170B">
      <w:pPr>
        <w:jc w:val="both"/>
      </w:pPr>
    </w:p>
    <w:sectPr w:rsidR="002C6123" w:rsidRPr="00B23D78" w:rsidSect="006100CD">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4F56D" w14:textId="77777777" w:rsidR="00337703" w:rsidRDefault="00337703" w:rsidP="002F1204">
      <w:pPr>
        <w:spacing w:after="0" w:line="240" w:lineRule="auto"/>
      </w:pPr>
      <w:r>
        <w:separator/>
      </w:r>
    </w:p>
  </w:endnote>
  <w:endnote w:type="continuationSeparator" w:id="0">
    <w:p w14:paraId="61E4A0B7" w14:textId="77777777" w:rsidR="00337703" w:rsidRDefault="00337703" w:rsidP="002F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429254"/>
      <w:docPartObj>
        <w:docPartGallery w:val="Page Numbers (Bottom of Page)"/>
        <w:docPartUnique/>
      </w:docPartObj>
    </w:sdtPr>
    <w:sdtContent>
      <w:p w14:paraId="7C0A8F13" w14:textId="77777777" w:rsidR="00337703" w:rsidRDefault="00337703">
        <w:pPr>
          <w:pStyle w:val="Pieddepage"/>
          <w:jc w:val="center"/>
        </w:pPr>
        <w:r>
          <w:fldChar w:fldCharType="begin"/>
        </w:r>
        <w:r>
          <w:instrText>PAGE   \* MERGEFORMAT</w:instrText>
        </w:r>
        <w:r>
          <w:fldChar w:fldCharType="separate"/>
        </w:r>
        <w:r>
          <w:rPr>
            <w:noProof/>
          </w:rPr>
          <w:t>12</w:t>
        </w:r>
        <w:r>
          <w:fldChar w:fldCharType="end"/>
        </w:r>
      </w:p>
    </w:sdtContent>
  </w:sdt>
  <w:p w14:paraId="3C1FCEF4" w14:textId="77777777" w:rsidR="00337703" w:rsidRDefault="003377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8C80" w14:textId="77777777" w:rsidR="00337703" w:rsidRDefault="00337703" w:rsidP="002F1204">
      <w:pPr>
        <w:spacing w:after="0" w:line="240" w:lineRule="auto"/>
      </w:pPr>
      <w:r>
        <w:separator/>
      </w:r>
    </w:p>
  </w:footnote>
  <w:footnote w:type="continuationSeparator" w:id="0">
    <w:p w14:paraId="0FE3FBF4" w14:textId="77777777" w:rsidR="00337703" w:rsidRDefault="00337703" w:rsidP="002F1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768"/>
    <w:multiLevelType w:val="hybridMultilevel"/>
    <w:tmpl w:val="D95A0810"/>
    <w:lvl w:ilvl="0" w:tplc="040C0011">
      <w:start w:val="1"/>
      <w:numFmt w:val="decimal"/>
      <w:lvlText w:val="%1)"/>
      <w:lvlJc w:val="left"/>
      <w:pPr>
        <w:ind w:left="1440" w:hanging="360"/>
      </w:pPr>
      <w:rPr>
        <w:rFonts w:hint="default"/>
      </w:rPr>
    </w:lvl>
    <w:lvl w:ilvl="1" w:tplc="040C0001">
      <w:start w:val="1"/>
      <w:numFmt w:val="bullet"/>
      <w:lvlText w:val=""/>
      <w:lvlJc w:val="left"/>
      <w:pPr>
        <w:ind w:left="2160" w:hanging="360"/>
      </w:pPr>
      <w:rPr>
        <w:rFonts w:ascii="Symbol" w:hAnsi="Symbol"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6AD4479"/>
    <w:multiLevelType w:val="hybridMultilevel"/>
    <w:tmpl w:val="56C89C6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40BD5B33"/>
    <w:multiLevelType w:val="hybridMultilevel"/>
    <w:tmpl w:val="E9B8B4E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 w15:restartNumberingAfterBreak="0">
    <w:nsid w:val="47D57705"/>
    <w:multiLevelType w:val="hybridMultilevel"/>
    <w:tmpl w:val="EAF2E67C"/>
    <w:lvl w:ilvl="0" w:tplc="A140B3FC">
      <w:start w:val="1"/>
      <w:numFmt w:val="upperRoman"/>
      <w:lvlText w:val="%1."/>
      <w:lvlJc w:val="left"/>
      <w:pPr>
        <w:ind w:left="1080" w:hanging="720"/>
      </w:pPr>
      <w:rPr>
        <w:rFonts w:hint="default"/>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EA56D4"/>
    <w:multiLevelType w:val="hybridMultilevel"/>
    <w:tmpl w:val="AAE45CE0"/>
    <w:lvl w:ilvl="0" w:tplc="040C0005">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6DA514F5"/>
    <w:multiLevelType w:val="hybridMultilevel"/>
    <w:tmpl w:val="4FD061E4"/>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6" w15:restartNumberingAfterBreak="0">
    <w:nsid w:val="79922503"/>
    <w:multiLevelType w:val="hybridMultilevel"/>
    <w:tmpl w:val="198EE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04"/>
    <w:rsid w:val="000061D7"/>
    <w:rsid w:val="00017642"/>
    <w:rsid w:val="00017860"/>
    <w:rsid w:val="00040FBE"/>
    <w:rsid w:val="0004428E"/>
    <w:rsid w:val="00087742"/>
    <w:rsid w:val="000877DE"/>
    <w:rsid w:val="00091184"/>
    <w:rsid w:val="00095ECC"/>
    <w:rsid w:val="000962A7"/>
    <w:rsid w:val="000A38A6"/>
    <w:rsid w:val="000B0663"/>
    <w:rsid w:val="000B0696"/>
    <w:rsid w:val="000B62E5"/>
    <w:rsid w:val="000B7C53"/>
    <w:rsid w:val="000D0B45"/>
    <w:rsid w:val="000E4F00"/>
    <w:rsid w:val="000F1F1E"/>
    <w:rsid w:val="001035C4"/>
    <w:rsid w:val="00115EE0"/>
    <w:rsid w:val="001169CC"/>
    <w:rsid w:val="00126677"/>
    <w:rsid w:val="001315B7"/>
    <w:rsid w:val="00135EB0"/>
    <w:rsid w:val="00147571"/>
    <w:rsid w:val="00181283"/>
    <w:rsid w:val="00186D87"/>
    <w:rsid w:val="00187BE0"/>
    <w:rsid w:val="00194538"/>
    <w:rsid w:val="00194B00"/>
    <w:rsid w:val="0019688C"/>
    <w:rsid w:val="001A4F8F"/>
    <w:rsid w:val="001A734B"/>
    <w:rsid w:val="001A73E8"/>
    <w:rsid w:val="001C6973"/>
    <w:rsid w:val="001E0F6A"/>
    <w:rsid w:val="00211B69"/>
    <w:rsid w:val="00217BD2"/>
    <w:rsid w:val="00225230"/>
    <w:rsid w:val="00232DEA"/>
    <w:rsid w:val="002354ED"/>
    <w:rsid w:val="002400E9"/>
    <w:rsid w:val="00241D82"/>
    <w:rsid w:val="0025169B"/>
    <w:rsid w:val="00253014"/>
    <w:rsid w:val="002624FC"/>
    <w:rsid w:val="00275227"/>
    <w:rsid w:val="0029526B"/>
    <w:rsid w:val="002976FC"/>
    <w:rsid w:val="00297831"/>
    <w:rsid w:val="002A10E0"/>
    <w:rsid w:val="002A1EC8"/>
    <w:rsid w:val="002A77F4"/>
    <w:rsid w:val="002C3E80"/>
    <w:rsid w:val="002C48CD"/>
    <w:rsid w:val="002C6123"/>
    <w:rsid w:val="002D067A"/>
    <w:rsid w:val="002D0752"/>
    <w:rsid w:val="002E057B"/>
    <w:rsid w:val="002F1204"/>
    <w:rsid w:val="003047FA"/>
    <w:rsid w:val="003117AD"/>
    <w:rsid w:val="003271FD"/>
    <w:rsid w:val="00332554"/>
    <w:rsid w:val="00337703"/>
    <w:rsid w:val="00342B2D"/>
    <w:rsid w:val="00354ACD"/>
    <w:rsid w:val="00361722"/>
    <w:rsid w:val="003867A5"/>
    <w:rsid w:val="00392329"/>
    <w:rsid w:val="003A4BB2"/>
    <w:rsid w:val="003C3880"/>
    <w:rsid w:val="003D4E5F"/>
    <w:rsid w:val="003E5873"/>
    <w:rsid w:val="003F6A2C"/>
    <w:rsid w:val="003F7627"/>
    <w:rsid w:val="00434F9B"/>
    <w:rsid w:val="00443856"/>
    <w:rsid w:val="00445BAF"/>
    <w:rsid w:val="0045225C"/>
    <w:rsid w:val="00454488"/>
    <w:rsid w:val="00457FE0"/>
    <w:rsid w:val="00467F89"/>
    <w:rsid w:val="00483B14"/>
    <w:rsid w:val="004865FE"/>
    <w:rsid w:val="004A25AC"/>
    <w:rsid w:val="004A77DA"/>
    <w:rsid w:val="004B1456"/>
    <w:rsid w:val="004B7530"/>
    <w:rsid w:val="004B7635"/>
    <w:rsid w:val="004D0474"/>
    <w:rsid w:val="004D6D64"/>
    <w:rsid w:val="004D73F9"/>
    <w:rsid w:val="004F0609"/>
    <w:rsid w:val="004F55B5"/>
    <w:rsid w:val="00516DCA"/>
    <w:rsid w:val="005267CF"/>
    <w:rsid w:val="00531328"/>
    <w:rsid w:val="00534A9A"/>
    <w:rsid w:val="005504EE"/>
    <w:rsid w:val="00552032"/>
    <w:rsid w:val="005949AF"/>
    <w:rsid w:val="005A01EE"/>
    <w:rsid w:val="005B2125"/>
    <w:rsid w:val="005C5DA4"/>
    <w:rsid w:val="005D4A54"/>
    <w:rsid w:val="005E5D55"/>
    <w:rsid w:val="005E6A51"/>
    <w:rsid w:val="005F5BE9"/>
    <w:rsid w:val="005F6989"/>
    <w:rsid w:val="00606290"/>
    <w:rsid w:val="006100CD"/>
    <w:rsid w:val="00620841"/>
    <w:rsid w:val="006245D7"/>
    <w:rsid w:val="00631A23"/>
    <w:rsid w:val="00636BDB"/>
    <w:rsid w:val="00642830"/>
    <w:rsid w:val="00644E34"/>
    <w:rsid w:val="00650586"/>
    <w:rsid w:val="006538F9"/>
    <w:rsid w:val="00660C20"/>
    <w:rsid w:val="00661C5A"/>
    <w:rsid w:val="00687A55"/>
    <w:rsid w:val="0069171C"/>
    <w:rsid w:val="006957BA"/>
    <w:rsid w:val="00695C8C"/>
    <w:rsid w:val="00696339"/>
    <w:rsid w:val="006A046D"/>
    <w:rsid w:val="006A1FAC"/>
    <w:rsid w:val="006A3620"/>
    <w:rsid w:val="006B63C9"/>
    <w:rsid w:val="006D3E88"/>
    <w:rsid w:val="006D5D60"/>
    <w:rsid w:val="00701EC6"/>
    <w:rsid w:val="007066EF"/>
    <w:rsid w:val="007115EF"/>
    <w:rsid w:val="0071170B"/>
    <w:rsid w:val="00712055"/>
    <w:rsid w:val="00712F09"/>
    <w:rsid w:val="00734F32"/>
    <w:rsid w:val="0074074D"/>
    <w:rsid w:val="0074255D"/>
    <w:rsid w:val="007503F9"/>
    <w:rsid w:val="0075339F"/>
    <w:rsid w:val="00762D9A"/>
    <w:rsid w:val="007670D0"/>
    <w:rsid w:val="0078779E"/>
    <w:rsid w:val="00796E50"/>
    <w:rsid w:val="007C46D1"/>
    <w:rsid w:val="007E0CEF"/>
    <w:rsid w:val="007E46BD"/>
    <w:rsid w:val="007E57F1"/>
    <w:rsid w:val="007E5B7A"/>
    <w:rsid w:val="007E766E"/>
    <w:rsid w:val="008271A7"/>
    <w:rsid w:val="00836F3E"/>
    <w:rsid w:val="00840968"/>
    <w:rsid w:val="00855EA3"/>
    <w:rsid w:val="0086299A"/>
    <w:rsid w:val="00873391"/>
    <w:rsid w:val="00876CE8"/>
    <w:rsid w:val="00881513"/>
    <w:rsid w:val="008A2FEB"/>
    <w:rsid w:val="008A5974"/>
    <w:rsid w:val="008B260C"/>
    <w:rsid w:val="008B44C8"/>
    <w:rsid w:val="008B4C67"/>
    <w:rsid w:val="008B78BB"/>
    <w:rsid w:val="008D1416"/>
    <w:rsid w:val="008D43EB"/>
    <w:rsid w:val="008D4555"/>
    <w:rsid w:val="008F0366"/>
    <w:rsid w:val="008F3DE9"/>
    <w:rsid w:val="00906E22"/>
    <w:rsid w:val="00915B26"/>
    <w:rsid w:val="0092359A"/>
    <w:rsid w:val="00937E27"/>
    <w:rsid w:val="00970936"/>
    <w:rsid w:val="00977BCE"/>
    <w:rsid w:val="00982A79"/>
    <w:rsid w:val="00982C26"/>
    <w:rsid w:val="0098540E"/>
    <w:rsid w:val="00992534"/>
    <w:rsid w:val="00994753"/>
    <w:rsid w:val="009C18CF"/>
    <w:rsid w:val="009D315E"/>
    <w:rsid w:val="009D4761"/>
    <w:rsid w:val="009E06EB"/>
    <w:rsid w:val="009F1AA5"/>
    <w:rsid w:val="00A02DE6"/>
    <w:rsid w:val="00A0707C"/>
    <w:rsid w:val="00A10714"/>
    <w:rsid w:val="00A111ED"/>
    <w:rsid w:val="00A21816"/>
    <w:rsid w:val="00A22A36"/>
    <w:rsid w:val="00A22C8F"/>
    <w:rsid w:val="00A24870"/>
    <w:rsid w:val="00A258A0"/>
    <w:rsid w:val="00A5671B"/>
    <w:rsid w:val="00A6283F"/>
    <w:rsid w:val="00A72BB3"/>
    <w:rsid w:val="00A87FA6"/>
    <w:rsid w:val="00A93C22"/>
    <w:rsid w:val="00A960AE"/>
    <w:rsid w:val="00AB28D8"/>
    <w:rsid w:val="00AC0F39"/>
    <w:rsid w:val="00AD5FDE"/>
    <w:rsid w:val="00AE06C8"/>
    <w:rsid w:val="00AE25F6"/>
    <w:rsid w:val="00AF205C"/>
    <w:rsid w:val="00AF642D"/>
    <w:rsid w:val="00B22E0B"/>
    <w:rsid w:val="00B23D78"/>
    <w:rsid w:val="00B30B0E"/>
    <w:rsid w:val="00B3167C"/>
    <w:rsid w:val="00B33233"/>
    <w:rsid w:val="00B376CA"/>
    <w:rsid w:val="00B44F85"/>
    <w:rsid w:val="00B47C9E"/>
    <w:rsid w:val="00B516FD"/>
    <w:rsid w:val="00B54CCF"/>
    <w:rsid w:val="00B67C15"/>
    <w:rsid w:val="00B77155"/>
    <w:rsid w:val="00B836F5"/>
    <w:rsid w:val="00B923AA"/>
    <w:rsid w:val="00BA6D6A"/>
    <w:rsid w:val="00BB0984"/>
    <w:rsid w:val="00BB2E0A"/>
    <w:rsid w:val="00BC401A"/>
    <w:rsid w:val="00BC69E4"/>
    <w:rsid w:val="00BD3F0A"/>
    <w:rsid w:val="00BD44D7"/>
    <w:rsid w:val="00BF2D49"/>
    <w:rsid w:val="00BF3B7E"/>
    <w:rsid w:val="00C2726B"/>
    <w:rsid w:val="00C2796A"/>
    <w:rsid w:val="00C35391"/>
    <w:rsid w:val="00C4049D"/>
    <w:rsid w:val="00C47013"/>
    <w:rsid w:val="00C84549"/>
    <w:rsid w:val="00CB5184"/>
    <w:rsid w:val="00CB60FB"/>
    <w:rsid w:val="00CC0328"/>
    <w:rsid w:val="00CC2E39"/>
    <w:rsid w:val="00CC3836"/>
    <w:rsid w:val="00D02AEB"/>
    <w:rsid w:val="00D1035F"/>
    <w:rsid w:val="00D1104A"/>
    <w:rsid w:val="00D6467E"/>
    <w:rsid w:val="00D661F0"/>
    <w:rsid w:val="00D80EEC"/>
    <w:rsid w:val="00D87D9A"/>
    <w:rsid w:val="00DA6690"/>
    <w:rsid w:val="00DC11A9"/>
    <w:rsid w:val="00DC30DE"/>
    <w:rsid w:val="00DD68C6"/>
    <w:rsid w:val="00DF1F4F"/>
    <w:rsid w:val="00DF23B4"/>
    <w:rsid w:val="00DF6AD7"/>
    <w:rsid w:val="00E049CD"/>
    <w:rsid w:val="00E0761A"/>
    <w:rsid w:val="00E13468"/>
    <w:rsid w:val="00E165B2"/>
    <w:rsid w:val="00E16BE0"/>
    <w:rsid w:val="00E20077"/>
    <w:rsid w:val="00E25936"/>
    <w:rsid w:val="00E2778B"/>
    <w:rsid w:val="00E27B62"/>
    <w:rsid w:val="00E36EC5"/>
    <w:rsid w:val="00E4064F"/>
    <w:rsid w:val="00E41781"/>
    <w:rsid w:val="00E5253C"/>
    <w:rsid w:val="00E54075"/>
    <w:rsid w:val="00E6113D"/>
    <w:rsid w:val="00E6392E"/>
    <w:rsid w:val="00E67FBF"/>
    <w:rsid w:val="00E839FC"/>
    <w:rsid w:val="00E84F16"/>
    <w:rsid w:val="00EA22CE"/>
    <w:rsid w:val="00EB334D"/>
    <w:rsid w:val="00EC53DF"/>
    <w:rsid w:val="00EE2EB7"/>
    <w:rsid w:val="00EF0DDA"/>
    <w:rsid w:val="00F1426C"/>
    <w:rsid w:val="00F178C5"/>
    <w:rsid w:val="00F2158E"/>
    <w:rsid w:val="00F23CCF"/>
    <w:rsid w:val="00F255A1"/>
    <w:rsid w:val="00F878BA"/>
    <w:rsid w:val="00F90BAF"/>
    <w:rsid w:val="00F90CD8"/>
    <w:rsid w:val="00FA06B1"/>
    <w:rsid w:val="00FA55DA"/>
    <w:rsid w:val="00FC1578"/>
    <w:rsid w:val="00FC355A"/>
    <w:rsid w:val="00FD15E9"/>
    <w:rsid w:val="00FE23C4"/>
    <w:rsid w:val="00FE6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15F8"/>
  <w15:docId w15:val="{DFBC7787-BA22-4B0B-8515-F6EBDEF9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F1204"/>
    <w:pPr>
      <w:ind w:left="720"/>
      <w:contextualSpacing/>
    </w:pPr>
  </w:style>
  <w:style w:type="paragraph" w:styleId="En-tte">
    <w:name w:val="header"/>
    <w:basedOn w:val="Normal"/>
    <w:link w:val="En-tteCar"/>
    <w:uiPriority w:val="99"/>
    <w:unhideWhenUsed/>
    <w:rsid w:val="002F1204"/>
    <w:pPr>
      <w:tabs>
        <w:tab w:val="center" w:pos="4536"/>
        <w:tab w:val="right" w:pos="9072"/>
      </w:tabs>
      <w:spacing w:after="0" w:line="240" w:lineRule="auto"/>
    </w:pPr>
  </w:style>
  <w:style w:type="character" w:customStyle="1" w:styleId="En-tteCar">
    <w:name w:val="En-tête Car"/>
    <w:basedOn w:val="Policepardfaut"/>
    <w:link w:val="En-tte"/>
    <w:uiPriority w:val="99"/>
    <w:rsid w:val="002F1204"/>
  </w:style>
  <w:style w:type="paragraph" w:styleId="Pieddepage">
    <w:name w:val="footer"/>
    <w:basedOn w:val="Normal"/>
    <w:link w:val="PieddepageCar"/>
    <w:uiPriority w:val="99"/>
    <w:unhideWhenUsed/>
    <w:rsid w:val="002F12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204"/>
  </w:style>
  <w:style w:type="paragraph" w:styleId="Textedebulles">
    <w:name w:val="Balloon Text"/>
    <w:basedOn w:val="Normal"/>
    <w:link w:val="TextedebullesCar"/>
    <w:uiPriority w:val="99"/>
    <w:semiHidden/>
    <w:unhideWhenUsed/>
    <w:rsid w:val="00EF0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DDA"/>
    <w:rPr>
      <w:rFonts w:ascii="Tahoma" w:hAnsi="Tahoma" w:cs="Tahoma"/>
      <w:sz w:val="16"/>
      <w:szCs w:val="16"/>
    </w:rPr>
  </w:style>
  <w:style w:type="character" w:customStyle="1" w:styleId="ParagraphedelisteCar">
    <w:name w:val="Paragraphe de liste Car"/>
    <w:basedOn w:val="Policepardfaut"/>
    <w:link w:val="Paragraphedeliste"/>
    <w:uiPriority w:val="34"/>
    <w:rsid w:val="00BC401A"/>
  </w:style>
  <w:style w:type="table" w:styleId="Grilledutableau">
    <w:name w:val="Table Grid"/>
    <w:basedOn w:val="TableauNormal"/>
    <w:uiPriority w:val="59"/>
    <w:rsid w:val="00A2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52032"/>
    <w:rPr>
      <w:color w:val="0000FF" w:themeColor="hyperlink"/>
      <w:u w:val="single"/>
    </w:rPr>
  </w:style>
  <w:style w:type="character" w:styleId="Mentionnonrsolue">
    <w:name w:val="Unresolved Mention"/>
    <w:basedOn w:val="Policepardfaut"/>
    <w:uiPriority w:val="99"/>
    <w:semiHidden/>
    <w:unhideWhenUsed/>
    <w:rsid w:val="00552032"/>
    <w:rPr>
      <w:color w:val="605E5C"/>
      <w:shd w:val="clear" w:color="auto" w:fill="E1DFDD"/>
    </w:rPr>
  </w:style>
  <w:style w:type="paragraph" w:customStyle="1" w:styleId="paragraph">
    <w:name w:val="paragraph"/>
    <w:basedOn w:val="Normal"/>
    <w:rsid w:val="00F178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178C5"/>
  </w:style>
  <w:style w:type="character" w:customStyle="1" w:styleId="eop">
    <w:name w:val="eop"/>
    <w:basedOn w:val="Policepardfaut"/>
    <w:rsid w:val="00F1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8097">
      <w:bodyDiv w:val="1"/>
      <w:marLeft w:val="0"/>
      <w:marRight w:val="0"/>
      <w:marTop w:val="0"/>
      <w:marBottom w:val="0"/>
      <w:divBdr>
        <w:top w:val="none" w:sz="0" w:space="0" w:color="auto"/>
        <w:left w:val="none" w:sz="0" w:space="0" w:color="auto"/>
        <w:bottom w:val="none" w:sz="0" w:space="0" w:color="auto"/>
        <w:right w:val="none" w:sz="0" w:space="0" w:color="auto"/>
      </w:divBdr>
    </w:div>
    <w:div w:id="28186951">
      <w:bodyDiv w:val="1"/>
      <w:marLeft w:val="0"/>
      <w:marRight w:val="0"/>
      <w:marTop w:val="0"/>
      <w:marBottom w:val="0"/>
      <w:divBdr>
        <w:top w:val="none" w:sz="0" w:space="0" w:color="auto"/>
        <w:left w:val="none" w:sz="0" w:space="0" w:color="auto"/>
        <w:bottom w:val="none" w:sz="0" w:space="0" w:color="auto"/>
        <w:right w:val="none" w:sz="0" w:space="0" w:color="auto"/>
      </w:divBdr>
    </w:div>
    <w:div w:id="83260810">
      <w:bodyDiv w:val="1"/>
      <w:marLeft w:val="0"/>
      <w:marRight w:val="0"/>
      <w:marTop w:val="0"/>
      <w:marBottom w:val="0"/>
      <w:divBdr>
        <w:top w:val="none" w:sz="0" w:space="0" w:color="auto"/>
        <w:left w:val="none" w:sz="0" w:space="0" w:color="auto"/>
        <w:bottom w:val="none" w:sz="0" w:space="0" w:color="auto"/>
        <w:right w:val="none" w:sz="0" w:space="0" w:color="auto"/>
      </w:divBdr>
    </w:div>
    <w:div w:id="296497239">
      <w:bodyDiv w:val="1"/>
      <w:marLeft w:val="0"/>
      <w:marRight w:val="0"/>
      <w:marTop w:val="0"/>
      <w:marBottom w:val="0"/>
      <w:divBdr>
        <w:top w:val="none" w:sz="0" w:space="0" w:color="auto"/>
        <w:left w:val="none" w:sz="0" w:space="0" w:color="auto"/>
        <w:bottom w:val="none" w:sz="0" w:space="0" w:color="auto"/>
        <w:right w:val="none" w:sz="0" w:space="0" w:color="auto"/>
      </w:divBdr>
    </w:div>
    <w:div w:id="704015839">
      <w:bodyDiv w:val="1"/>
      <w:marLeft w:val="0"/>
      <w:marRight w:val="0"/>
      <w:marTop w:val="0"/>
      <w:marBottom w:val="0"/>
      <w:divBdr>
        <w:top w:val="none" w:sz="0" w:space="0" w:color="auto"/>
        <w:left w:val="none" w:sz="0" w:space="0" w:color="auto"/>
        <w:bottom w:val="none" w:sz="0" w:space="0" w:color="auto"/>
        <w:right w:val="none" w:sz="0" w:space="0" w:color="auto"/>
      </w:divBdr>
    </w:div>
    <w:div w:id="712998237">
      <w:bodyDiv w:val="1"/>
      <w:marLeft w:val="0"/>
      <w:marRight w:val="0"/>
      <w:marTop w:val="0"/>
      <w:marBottom w:val="0"/>
      <w:divBdr>
        <w:top w:val="none" w:sz="0" w:space="0" w:color="auto"/>
        <w:left w:val="none" w:sz="0" w:space="0" w:color="auto"/>
        <w:bottom w:val="none" w:sz="0" w:space="0" w:color="auto"/>
        <w:right w:val="none" w:sz="0" w:space="0" w:color="auto"/>
      </w:divBdr>
    </w:div>
    <w:div w:id="727608653">
      <w:bodyDiv w:val="1"/>
      <w:marLeft w:val="0"/>
      <w:marRight w:val="0"/>
      <w:marTop w:val="0"/>
      <w:marBottom w:val="0"/>
      <w:divBdr>
        <w:top w:val="none" w:sz="0" w:space="0" w:color="auto"/>
        <w:left w:val="none" w:sz="0" w:space="0" w:color="auto"/>
        <w:bottom w:val="none" w:sz="0" w:space="0" w:color="auto"/>
        <w:right w:val="none" w:sz="0" w:space="0" w:color="auto"/>
      </w:divBdr>
    </w:div>
    <w:div w:id="903218001">
      <w:bodyDiv w:val="1"/>
      <w:marLeft w:val="0"/>
      <w:marRight w:val="0"/>
      <w:marTop w:val="0"/>
      <w:marBottom w:val="0"/>
      <w:divBdr>
        <w:top w:val="none" w:sz="0" w:space="0" w:color="auto"/>
        <w:left w:val="none" w:sz="0" w:space="0" w:color="auto"/>
        <w:bottom w:val="none" w:sz="0" w:space="0" w:color="auto"/>
        <w:right w:val="none" w:sz="0" w:space="0" w:color="auto"/>
      </w:divBdr>
    </w:div>
    <w:div w:id="927814591">
      <w:bodyDiv w:val="1"/>
      <w:marLeft w:val="0"/>
      <w:marRight w:val="0"/>
      <w:marTop w:val="0"/>
      <w:marBottom w:val="0"/>
      <w:divBdr>
        <w:top w:val="none" w:sz="0" w:space="0" w:color="auto"/>
        <w:left w:val="none" w:sz="0" w:space="0" w:color="auto"/>
        <w:bottom w:val="none" w:sz="0" w:space="0" w:color="auto"/>
        <w:right w:val="none" w:sz="0" w:space="0" w:color="auto"/>
      </w:divBdr>
    </w:div>
    <w:div w:id="1077634588">
      <w:bodyDiv w:val="1"/>
      <w:marLeft w:val="0"/>
      <w:marRight w:val="0"/>
      <w:marTop w:val="0"/>
      <w:marBottom w:val="0"/>
      <w:divBdr>
        <w:top w:val="none" w:sz="0" w:space="0" w:color="auto"/>
        <w:left w:val="none" w:sz="0" w:space="0" w:color="auto"/>
        <w:bottom w:val="none" w:sz="0" w:space="0" w:color="auto"/>
        <w:right w:val="none" w:sz="0" w:space="0" w:color="auto"/>
      </w:divBdr>
    </w:div>
    <w:div w:id="1493452156">
      <w:bodyDiv w:val="1"/>
      <w:marLeft w:val="0"/>
      <w:marRight w:val="0"/>
      <w:marTop w:val="0"/>
      <w:marBottom w:val="0"/>
      <w:divBdr>
        <w:top w:val="none" w:sz="0" w:space="0" w:color="auto"/>
        <w:left w:val="none" w:sz="0" w:space="0" w:color="auto"/>
        <w:bottom w:val="none" w:sz="0" w:space="0" w:color="auto"/>
        <w:right w:val="none" w:sz="0" w:space="0" w:color="auto"/>
      </w:divBdr>
    </w:div>
    <w:div w:id="1510483587">
      <w:bodyDiv w:val="1"/>
      <w:marLeft w:val="0"/>
      <w:marRight w:val="0"/>
      <w:marTop w:val="0"/>
      <w:marBottom w:val="0"/>
      <w:divBdr>
        <w:top w:val="none" w:sz="0" w:space="0" w:color="auto"/>
        <w:left w:val="none" w:sz="0" w:space="0" w:color="auto"/>
        <w:bottom w:val="none" w:sz="0" w:space="0" w:color="auto"/>
        <w:right w:val="none" w:sz="0" w:space="0" w:color="auto"/>
      </w:divBdr>
    </w:div>
    <w:div w:id="1577781864">
      <w:bodyDiv w:val="1"/>
      <w:marLeft w:val="0"/>
      <w:marRight w:val="0"/>
      <w:marTop w:val="0"/>
      <w:marBottom w:val="0"/>
      <w:divBdr>
        <w:top w:val="none" w:sz="0" w:space="0" w:color="auto"/>
        <w:left w:val="none" w:sz="0" w:space="0" w:color="auto"/>
        <w:bottom w:val="none" w:sz="0" w:space="0" w:color="auto"/>
        <w:right w:val="none" w:sz="0" w:space="0" w:color="auto"/>
      </w:divBdr>
    </w:div>
    <w:div w:id="1605185868">
      <w:bodyDiv w:val="1"/>
      <w:marLeft w:val="0"/>
      <w:marRight w:val="0"/>
      <w:marTop w:val="0"/>
      <w:marBottom w:val="0"/>
      <w:divBdr>
        <w:top w:val="none" w:sz="0" w:space="0" w:color="auto"/>
        <w:left w:val="none" w:sz="0" w:space="0" w:color="auto"/>
        <w:bottom w:val="none" w:sz="0" w:space="0" w:color="auto"/>
        <w:right w:val="none" w:sz="0" w:space="0" w:color="auto"/>
      </w:divBdr>
    </w:div>
    <w:div w:id="1757941172">
      <w:bodyDiv w:val="1"/>
      <w:marLeft w:val="0"/>
      <w:marRight w:val="0"/>
      <w:marTop w:val="0"/>
      <w:marBottom w:val="0"/>
      <w:divBdr>
        <w:top w:val="none" w:sz="0" w:space="0" w:color="auto"/>
        <w:left w:val="none" w:sz="0" w:space="0" w:color="auto"/>
        <w:bottom w:val="none" w:sz="0" w:space="0" w:color="auto"/>
        <w:right w:val="none" w:sz="0" w:space="0" w:color="auto"/>
      </w:divBdr>
    </w:div>
    <w:div w:id="1867985497">
      <w:bodyDiv w:val="1"/>
      <w:marLeft w:val="0"/>
      <w:marRight w:val="0"/>
      <w:marTop w:val="0"/>
      <w:marBottom w:val="0"/>
      <w:divBdr>
        <w:top w:val="none" w:sz="0" w:space="0" w:color="auto"/>
        <w:left w:val="none" w:sz="0" w:space="0" w:color="auto"/>
        <w:bottom w:val="none" w:sz="0" w:space="0" w:color="auto"/>
        <w:right w:val="none" w:sz="0" w:space="0" w:color="auto"/>
      </w:divBdr>
    </w:div>
    <w:div w:id="2047219609">
      <w:bodyDiv w:val="1"/>
      <w:marLeft w:val="0"/>
      <w:marRight w:val="0"/>
      <w:marTop w:val="0"/>
      <w:marBottom w:val="0"/>
      <w:divBdr>
        <w:top w:val="none" w:sz="0" w:space="0" w:color="auto"/>
        <w:left w:val="none" w:sz="0" w:space="0" w:color="auto"/>
        <w:bottom w:val="none" w:sz="0" w:space="0" w:color="auto"/>
        <w:right w:val="none" w:sz="0" w:space="0" w:color="auto"/>
      </w:divBdr>
    </w:div>
    <w:div w:id="2063016253">
      <w:bodyDiv w:val="1"/>
      <w:marLeft w:val="0"/>
      <w:marRight w:val="0"/>
      <w:marTop w:val="0"/>
      <w:marBottom w:val="0"/>
      <w:divBdr>
        <w:top w:val="none" w:sz="0" w:space="0" w:color="auto"/>
        <w:left w:val="none" w:sz="0" w:space="0" w:color="auto"/>
        <w:bottom w:val="none" w:sz="0" w:space="0" w:color="auto"/>
        <w:right w:val="none" w:sz="0" w:space="0" w:color="auto"/>
      </w:divBdr>
    </w:div>
    <w:div w:id="20736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ons-investisseurs@carltonselectio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4266</Words>
  <Characters>23464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IGLESIAS</dc:creator>
  <cp:lastModifiedBy>Matthieu RODEL</cp:lastModifiedBy>
  <cp:revision>15</cp:revision>
  <cp:lastPrinted>2017-06-12T08:28:00Z</cp:lastPrinted>
  <dcterms:created xsi:type="dcterms:W3CDTF">2020-01-28T15:39:00Z</dcterms:created>
  <dcterms:modified xsi:type="dcterms:W3CDTF">2020-02-11T09:09:00Z</dcterms:modified>
</cp:coreProperties>
</file>